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27099" w14:textId="77777777" w:rsidR="00652BB4" w:rsidRPr="00B54A7B" w:rsidRDefault="00652BB4" w:rsidP="00652BB4">
      <w:pPr>
        <w:spacing w:before="100" w:beforeAutospacing="1" w:after="100" w:afterAutospacing="1"/>
        <w:jc w:val="center"/>
        <w:outlineLvl w:val="2"/>
        <w:rPr>
          <w:rFonts w:eastAsia="Times New Roman"/>
          <w:color w:val="000000"/>
          <w:sz w:val="28"/>
          <w:szCs w:val="28"/>
        </w:rPr>
      </w:pPr>
      <w:r w:rsidRPr="00B54A7B">
        <w:rPr>
          <w:rFonts w:eastAsia="Times New Roman"/>
          <w:b/>
          <w:bCs/>
          <w:color w:val="000000"/>
          <w:sz w:val="28"/>
          <w:szCs w:val="28"/>
        </w:rPr>
        <w:t>R</w:t>
      </w:r>
      <w:r>
        <w:rPr>
          <w:rFonts w:eastAsia="Times New Roman"/>
          <w:b/>
          <w:bCs/>
          <w:color w:val="000000"/>
          <w:sz w:val="28"/>
          <w:szCs w:val="28"/>
        </w:rPr>
        <w:t>SM 2</w:t>
      </w:r>
      <w:r>
        <w:rPr>
          <w:rFonts w:eastAsia="Times New Roman"/>
          <w:b/>
          <w:bCs/>
          <w:color w:val="000000"/>
          <w:sz w:val="28"/>
          <w:szCs w:val="28"/>
        </w:rPr>
        <w:br/>
        <w:t>VR &amp; IL POLICIES AND PROCEDURES MANUAL</w:t>
      </w:r>
      <w:r>
        <w:rPr>
          <w:rFonts w:eastAsia="Times New Roman"/>
          <w:b/>
          <w:bCs/>
          <w:color w:val="000000"/>
          <w:sz w:val="28"/>
          <w:szCs w:val="28"/>
        </w:rPr>
        <w:br/>
        <w:t>SECTION 17</w:t>
      </w:r>
      <w:r w:rsidRPr="00B54A7B">
        <w:rPr>
          <w:rFonts w:eastAsia="Times New Roman"/>
          <w:b/>
          <w:bCs/>
          <w:color w:val="000000"/>
          <w:sz w:val="28"/>
          <w:szCs w:val="28"/>
        </w:rPr>
        <w:t>00</w:t>
      </w:r>
    </w:p>
    <w:p w14:paraId="62E699BD" w14:textId="77777777" w:rsidR="00652BB4" w:rsidRPr="004D4DA2" w:rsidRDefault="00652BB4" w:rsidP="00652BB4">
      <w:pPr>
        <w:pStyle w:val="Heading1"/>
      </w:pPr>
      <w:r>
        <w:t>PRE-EMPLOYMENT TRANSITION SERVICES (Pre-ETS)</w:t>
      </w:r>
    </w:p>
    <w:p w14:paraId="096B7297" w14:textId="77777777" w:rsidR="001502CC" w:rsidRDefault="001502CC" w:rsidP="00C0508E">
      <w:pPr>
        <w:spacing w:after="0"/>
      </w:pPr>
    </w:p>
    <w:p w14:paraId="096B7298" w14:textId="39675FA8" w:rsidR="00B54A7B" w:rsidRDefault="00151FC9" w:rsidP="00C0508E">
      <w:pPr>
        <w:spacing w:after="0"/>
      </w:pPr>
      <w:r>
        <w:t xml:space="preserve">Updated: </w:t>
      </w:r>
      <w:r w:rsidR="00895CC1">
        <w:t>5</w:t>
      </w:r>
      <w:r w:rsidR="00D01B9A">
        <w:t>/1</w:t>
      </w:r>
      <w:r w:rsidR="00703540">
        <w:t>7</w:t>
      </w:r>
    </w:p>
    <w:p w14:paraId="096B7299" w14:textId="77777777" w:rsidR="001502CC" w:rsidRDefault="001502CC" w:rsidP="00C0508E">
      <w:pPr>
        <w:spacing w:after="0"/>
      </w:pPr>
    </w:p>
    <w:p w14:paraId="331EF1A3" w14:textId="77777777" w:rsidR="00743523" w:rsidRDefault="00743523" w:rsidP="00743523">
      <w:pPr>
        <w:pStyle w:val="TOC1"/>
        <w:rPr>
          <w:rFonts w:asciiTheme="minorHAnsi" w:hAnsiTheme="minorHAnsi" w:cstheme="minorBidi"/>
          <w:noProof/>
          <w:lang w:eastAsia="zh-CN"/>
        </w:rPr>
      </w:pPr>
      <w:r>
        <w:fldChar w:fldCharType="begin"/>
      </w:r>
      <w:r>
        <w:instrText xml:space="preserve"> TOC \h \z \u \t "Heading 2,1,Heading 3,2" </w:instrText>
      </w:r>
      <w:r>
        <w:fldChar w:fldCharType="separate"/>
      </w:r>
      <w:hyperlink w:anchor="_Toc19108519" w:history="1">
        <w:r w:rsidRPr="00A27627">
          <w:rPr>
            <w:rStyle w:val="Hyperlink"/>
            <w:noProof/>
          </w:rPr>
          <w:t>1700 Pre-Employment Transition Services, Coordination and Planning for Students with Disabilities</w:t>
        </w:r>
        <w:r>
          <w:rPr>
            <w:noProof/>
            <w:webHidden/>
          </w:rPr>
          <w:tab/>
        </w:r>
        <w:r>
          <w:rPr>
            <w:noProof/>
            <w:webHidden/>
          </w:rPr>
          <w:fldChar w:fldCharType="begin"/>
        </w:r>
        <w:r>
          <w:rPr>
            <w:noProof/>
            <w:webHidden/>
          </w:rPr>
          <w:instrText xml:space="preserve"> PAGEREF _Toc19108519 \h </w:instrText>
        </w:r>
        <w:r>
          <w:rPr>
            <w:noProof/>
            <w:webHidden/>
          </w:rPr>
        </w:r>
        <w:r>
          <w:rPr>
            <w:noProof/>
            <w:webHidden/>
          </w:rPr>
          <w:fldChar w:fldCharType="separate"/>
        </w:r>
        <w:r>
          <w:rPr>
            <w:noProof/>
            <w:webHidden/>
          </w:rPr>
          <w:t>2</w:t>
        </w:r>
        <w:r>
          <w:rPr>
            <w:noProof/>
            <w:webHidden/>
          </w:rPr>
          <w:fldChar w:fldCharType="end"/>
        </w:r>
      </w:hyperlink>
    </w:p>
    <w:p w14:paraId="4528D541" w14:textId="77777777" w:rsidR="00743523" w:rsidRDefault="00C72DF0" w:rsidP="00743523">
      <w:pPr>
        <w:pStyle w:val="TOC1"/>
        <w:rPr>
          <w:rFonts w:asciiTheme="minorHAnsi" w:hAnsiTheme="minorHAnsi" w:cstheme="minorBidi"/>
          <w:noProof/>
          <w:lang w:eastAsia="zh-CN"/>
        </w:rPr>
      </w:pPr>
      <w:hyperlink w:anchor="_Toc19108520" w:history="1">
        <w:r w:rsidR="00743523" w:rsidRPr="00A27627">
          <w:rPr>
            <w:rStyle w:val="Hyperlink"/>
            <w:noProof/>
          </w:rPr>
          <w:t>1701 Target Population</w:t>
        </w:r>
        <w:r w:rsidR="00743523">
          <w:rPr>
            <w:noProof/>
            <w:webHidden/>
          </w:rPr>
          <w:tab/>
        </w:r>
        <w:r w:rsidR="00743523">
          <w:rPr>
            <w:noProof/>
            <w:webHidden/>
          </w:rPr>
          <w:fldChar w:fldCharType="begin"/>
        </w:r>
        <w:r w:rsidR="00743523">
          <w:rPr>
            <w:noProof/>
            <w:webHidden/>
          </w:rPr>
          <w:instrText xml:space="preserve"> PAGEREF _Toc19108520 \h </w:instrText>
        </w:r>
        <w:r w:rsidR="00743523">
          <w:rPr>
            <w:noProof/>
            <w:webHidden/>
          </w:rPr>
        </w:r>
        <w:r w:rsidR="00743523">
          <w:rPr>
            <w:noProof/>
            <w:webHidden/>
          </w:rPr>
          <w:fldChar w:fldCharType="separate"/>
        </w:r>
        <w:r w:rsidR="00743523">
          <w:rPr>
            <w:noProof/>
            <w:webHidden/>
          </w:rPr>
          <w:t>2</w:t>
        </w:r>
        <w:r w:rsidR="00743523">
          <w:rPr>
            <w:noProof/>
            <w:webHidden/>
          </w:rPr>
          <w:fldChar w:fldCharType="end"/>
        </w:r>
      </w:hyperlink>
    </w:p>
    <w:p w14:paraId="4A89ECB0" w14:textId="77777777" w:rsidR="00743523" w:rsidRDefault="00C72DF0" w:rsidP="00743523">
      <w:pPr>
        <w:pStyle w:val="TOC1"/>
        <w:rPr>
          <w:rFonts w:asciiTheme="minorHAnsi" w:hAnsiTheme="minorHAnsi" w:cstheme="minorBidi"/>
          <w:noProof/>
          <w:lang w:eastAsia="zh-CN"/>
        </w:rPr>
      </w:pPr>
      <w:hyperlink w:anchor="_Toc19108521" w:history="1">
        <w:r w:rsidR="00743523" w:rsidRPr="00A27627">
          <w:rPr>
            <w:rStyle w:val="Hyperlink"/>
            <w:noProof/>
          </w:rPr>
          <w:t>1702 Required Services and Statewide Availability</w:t>
        </w:r>
        <w:r w:rsidR="00743523">
          <w:rPr>
            <w:noProof/>
            <w:webHidden/>
          </w:rPr>
          <w:tab/>
        </w:r>
        <w:r w:rsidR="00743523">
          <w:rPr>
            <w:noProof/>
            <w:webHidden/>
          </w:rPr>
          <w:fldChar w:fldCharType="begin"/>
        </w:r>
        <w:r w:rsidR="00743523">
          <w:rPr>
            <w:noProof/>
            <w:webHidden/>
          </w:rPr>
          <w:instrText xml:space="preserve"> PAGEREF _Toc19108521 \h </w:instrText>
        </w:r>
        <w:r w:rsidR="00743523">
          <w:rPr>
            <w:noProof/>
            <w:webHidden/>
          </w:rPr>
        </w:r>
        <w:r w:rsidR="00743523">
          <w:rPr>
            <w:noProof/>
            <w:webHidden/>
          </w:rPr>
          <w:fldChar w:fldCharType="separate"/>
        </w:r>
        <w:r w:rsidR="00743523">
          <w:rPr>
            <w:noProof/>
            <w:webHidden/>
          </w:rPr>
          <w:t>2</w:t>
        </w:r>
        <w:r w:rsidR="00743523">
          <w:rPr>
            <w:noProof/>
            <w:webHidden/>
          </w:rPr>
          <w:fldChar w:fldCharType="end"/>
        </w:r>
      </w:hyperlink>
    </w:p>
    <w:p w14:paraId="284A001E" w14:textId="77777777" w:rsidR="00743523" w:rsidRDefault="00C72DF0" w:rsidP="00743523">
      <w:pPr>
        <w:pStyle w:val="TOC2"/>
        <w:rPr>
          <w:rFonts w:asciiTheme="minorHAnsi" w:hAnsiTheme="minorHAnsi" w:cstheme="minorBidi"/>
          <w:noProof/>
          <w:lang w:eastAsia="zh-CN"/>
        </w:rPr>
      </w:pPr>
      <w:hyperlink w:anchor="_Toc19108522" w:history="1">
        <w:r w:rsidR="00743523" w:rsidRPr="00A27627">
          <w:rPr>
            <w:rStyle w:val="Hyperlink"/>
            <w:noProof/>
          </w:rPr>
          <w:t>1702.01 Instruction in Self-Advocacy</w:t>
        </w:r>
        <w:r w:rsidR="00743523">
          <w:rPr>
            <w:noProof/>
            <w:webHidden/>
          </w:rPr>
          <w:tab/>
        </w:r>
        <w:r w:rsidR="00743523">
          <w:rPr>
            <w:noProof/>
            <w:webHidden/>
          </w:rPr>
          <w:fldChar w:fldCharType="begin"/>
        </w:r>
        <w:r w:rsidR="00743523">
          <w:rPr>
            <w:noProof/>
            <w:webHidden/>
          </w:rPr>
          <w:instrText xml:space="preserve"> PAGEREF _Toc19108522 \h </w:instrText>
        </w:r>
        <w:r w:rsidR="00743523">
          <w:rPr>
            <w:noProof/>
            <w:webHidden/>
          </w:rPr>
        </w:r>
        <w:r w:rsidR="00743523">
          <w:rPr>
            <w:noProof/>
            <w:webHidden/>
          </w:rPr>
          <w:fldChar w:fldCharType="separate"/>
        </w:r>
        <w:r w:rsidR="00743523">
          <w:rPr>
            <w:noProof/>
            <w:webHidden/>
          </w:rPr>
          <w:t>3</w:t>
        </w:r>
        <w:r w:rsidR="00743523">
          <w:rPr>
            <w:noProof/>
            <w:webHidden/>
          </w:rPr>
          <w:fldChar w:fldCharType="end"/>
        </w:r>
      </w:hyperlink>
    </w:p>
    <w:p w14:paraId="39F3531E" w14:textId="77777777" w:rsidR="00743523" w:rsidRDefault="00C72DF0" w:rsidP="00743523">
      <w:pPr>
        <w:pStyle w:val="TOC2"/>
        <w:rPr>
          <w:rFonts w:asciiTheme="minorHAnsi" w:hAnsiTheme="minorHAnsi" w:cstheme="minorBidi"/>
          <w:noProof/>
          <w:lang w:eastAsia="zh-CN"/>
        </w:rPr>
      </w:pPr>
      <w:hyperlink w:anchor="_Toc19108523" w:history="1">
        <w:r w:rsidR="00743523" w:rsidRPr="00A27627">
          <w:rPr>
            <w:rStyle w:val="Hyperlink"/>
            <w:noProof/>
          </w:rPr>
          <w:t>1702.02 Workplace Readiness Training</w:t>
        </w:r>
        <w:r w:rsidR="00743523">
          <w:rPr>
            <w:noProof/>
            <w:webHidden/>
          </w:rPr>
          <w:tab/>
        </w:r>
        <w:r w:rsidR="00743523">
          <w:rPr>
            <w:noProof/>
            <w:webHidden/>
          </w:rPr>
          <w:fldChar w:fldCharType="begin"/>
        </w:r>
        <w:r w:rsidR="00743523">
          <w:rPr>
            <w:noProof/>
            <w:webHidden/>
          </w:rPr>
          <w:instrText xml:space="preserve"> PAGEREF _Toc19108523 \h </w:instrText>
        </w:r>
        <w:r w:rsidR="00743523">
          <w:rPr>
            <w:noProof/>
            <w:webHidden/>
          </w:rPr>
        </w:r>
        <w:r w:rsidR="00743523">
          <w:rPr>
            <w:noProof/>
            <w:webHidden/>
          </w:rPr>
          <w:fldChar w:fldCharType="separate"/>
        </w:r>
        <w:r w:rsidR="00743523">
          <w:rPr>
            <w:noProof/>
            <w:webHidden/>
          </w:rPr>
          <w:t>3</w:t>
        </w:r>
        <w:r w:rsidR="00743523">
          <w:rPr>
            <w:noProof/>
            <w:webHidden/>
          </w:rPr>
          <w:fldChar w:fldCharType="end"/>
        </w:r>
      </w:hyperlink>
    </w:p>
    <w:p w14:paraId="46C88608" w14:textId="77777777" w:rsidR="00743523" w:rsidRDefault="00C72DF0" w:rsidP="00743523">
      <w:pPr>
        <w:pStyle w:val="TOC2"/>
        <w:rPr>
          <w:rFonts w:asciiTheme="minorHAnsi" w:hAnsiTheme="minorHAnsi" w:cstheme="minorBidi"/>
          <w:noProof/>
          <w:lang w:eastAsia="zh-CN"/>
        </w:rPr>
      </w:pPr>
      <w:hyperlink w:anchor="_Toc19108524" w:history="1">
        <w:r w:rsidR="00743523" w:rsidRPr="00A27627">
          <w:rPr>
            <w:rStyle w:val="Hyperlink"/>
            <w:noProof/>
          </w:rPr>
          <w:t>1702.03 Job Exploration Counseling</w:t>
        </w:r>
        <w:r w:rsidR="00743523">
          <w:rPr>
            <w:noProof/>
            <w:webHidden/>
          </w:rPr>
          <w:tab/>
        </w:r>
        <w:r w:rsidR="00743523">
          <w:rPr>
            <w:noProof/>
            <w:webHidden/>
          </w:rPr>
          <w:fldChar w:fldCharType="begin"/>
        </w:r>
        <w:r w:rsidR="00743523">
          <w:rPr>
            <w:noProof/>
            <w:webHidden/>
          </w:rPr>
          <w:instrText xml:space="preserve"> PAGEREF _Toc19108524 \h </w:instrText>
        </w:r>
        <w:r w:rsidR="00743523">
          <w:rPr>
            <w:noProof/>
            <w:webHidden/>
          </w:rPr>
        </w:r>
        <w:r w:rsidR="00743523">
          <w:rPr>
            <w:noProof/>
            <w:webHidden/>
          </w:rPr>
          <w:fldChar w:fldCharType="separate"/>
        </w:r>
        <w:r w:rsidR="00743523">
          <w:rPr>
            <w:noProof/>
            <w:webHidden/>
          </w:rPr>
          <w:t>3</w:t>
        </w:r>
        <w:r w:rsidR="00743523">
          <w:rPr>
            <w:noProof/>
            <w:webHidden/>
          </w:rPr>
          <w:fldChar w:fldCharType="end"/>
        </w:r>
      </w:hyperlink>
    </w:p>
    <w:p w14:paraId="15CABC79" w14:textId="77777777" w:rsidR="00743523" w:rsidRDefault="00C72DF0" w:rsidP="00743523">
      <w:pPr>
        <w:pStyle w:val="TOC2"/>
        <w:rPr>
          <w:rFonts w:asciiTheme="minorHAnsi" w:hAnsiTheme="minorHAnsi" w:cstheme="minorBidi"/>
          <w:noProof/>
          <w:lang w:eastAsia="zh-CN"/>
        </w:rPr>
      </w:pPr>
      <w:hyperlink w:anchor="_Toc19108525" w:history="1">
        <w:r w:rsidR="00743523" w:rsidRPr="00A27627">
          <w:rPr>
            <w:rStyle w:val="Hyperlink"/>
            <w:noProof/>
          </w:rPr>
          <w:t>1702.04 Counseling on Opportunities for Enrollment in Comprehensive Transition or Post-Secondary Education Program</w:t>
        </w:r>
        <w:r w:rsidR="00743523">
          <w:rPr>
            <w:noProof/>
            <w:webHidden/>
          </w:rPr>
          <w:tab/>
        </w:r>
        <w:r w:rsidR="00743523">
          <w:rPr>
            <w:noProof/>
            <w:webHidden/>
          </w:rPr>
          <w:fldChar w:fldCharType="begin"/>
        </w:r>
        <w:r w:rsidR="00743523">
          <w:rPr>
            <w:noProof/>
            <w:webHidden/>
          </w:rPr>
          <w:instrText xml:space="preserve"> PAGEREF _Toc19108525 \h </w:instrText>
        </w:r>
        <w:r w:rsidR="00743523">
          <w:rPr>
            <w:noProof/>
            <w:webHidden/>
          </w:rPr>
        </w:r>
        <w:r w:rsidR="00743523">
          <w:rPr>
            <w:noProof/>
            <w:webHidden/>
          </w:rPr>
          <w:fldChar w:fldCharType="separate"/>
        </w:r>
        <w:r w:rsidR="00743523">
          <w:rPr>
            <w:noProof/>
            <w:webHidden/>
          </w:rPr>
          <w:t>4</w:t>
        </w:r>
        <w:r w:rsidR="00743523">
          <w:rPr>
            <w:noProof/>
            <w:webHidden/>
          </w:rPr>
          <w:fldChar w:fldCharType="end"/>
        </w:r>
      </w:hyperlink>
    </w:p>
    <w:p w14:paraId="1DAD2016" w14:textId="77777777" w:rsidR="00743523" w:rsidRDefault="00C72DF0" w:rsidP="00743523">
      <w:pPr>
        <w:pStyle w:val="TOC2"/>
        <w:rPr>
          <w:rFonts w:asciiTheme="minorHAnsi" w:hAnsiTheme="minorHAnsi" w:cstheme="minorBidi"/>
          <w:noProof/>
          <w:lang w:eastAsia="zh-CN"/>
        </w:rPr>
      </w:pPr>
      <w:hyperlink w:anchor="_Toc19108526" w:history="1">
        <w:r w:rsidR="00743523" w:rsidRPr="00A27627">
          <w:rPr>
            <w:rStyle w:val="Hyperlink"/>
            <w:noProof/>
          </w:rPr>
          <w:t>1702.05 Work-Based Learning Experiences</w:t>
        </w:r>
        <w:r w:rsidR="00743523">
          <w:rPr>
            <w:noProof/>
            <w:webHidden/>
          </w:rPr>
          <w:tab/>
        </w:r>
        <w:r w:rsidR="00743523">
          <w:rPr>
            <w:noProof/>
            <w:webHidden/>
          </w:rPr>
          <w:fldChar w:fldCharType="begin"/>
        </w:r>
        <w:r w:rsidR="00743523">
          <w:rPr>
            <w:noProof/>
            <w:webHidden/>
          </w:rPr>
          <w:instrText xml:space="preserve"> PAGEREF _Toc19108526 \h </w:instrText>
        </w:r>
        <w:r w:rsidR="00743523">
          <w:rPr>
            <w:noProof/>
            <w:webHidden/>
          </w:rPr>
        </w:r>
        <w:r w:rsidR="00743523">
          <w:rPr>
            <w:noProof/>
            <w:webHidden/>
          </w:rPr>
          <w:fldChar w:fldCharType="separate"/>
        </w:r>
        <w:r w:rsidR="00743523">
          <w:rPr>
            <w:noProof/>
            <w:webHidden/>
          </w:rPr>
          <w:t>4</w:t>
        </w:r>
        <w:r w:rsidR="00743523">
          <w:rPr>
            <w:noProof/>
            <w:webHidden/>
          </w:rPr>
          <w:fldChar w:fldCharType="end"/>
        </w:r>
      </w:hyperlink>
    </w:p>
    <w:p w14:paraId="15B4B354" w14:textId="77777777" w:rsidR="00743523" w:rsidRDefault="00C72DF0" w:rsidP="00743523">
      <w:pPr>
        <w:pStyle w:val="TOC1"/>
        <w:rPr>
          <w:rFonts w:asciiTheme="minorHAnsi" w:hAnsiTheme="minorHAnsi" w:cstheme="minorBidi"/>
          <w:noProof/>
          <w:lang w:eastAsia="zh-CN"/>
        </w:rPr>
      </w:pPr>
      <w:hyperlink w:anchor="_Toc19108527" w:history="1">
        <w:r w:rsidR="00743523" w:rsidRPr="00A27627">
          <w:rPr>
            <w:rStyle w:val="Hyperlink"/>
            <w:noProof/>
          </w:rPr>
          <w:t>1703 Providing Auxiliary Aids and Other Accommodations and Services Under Pre-ETS</w:t>
        </w:r>
        <w:r w:rsidR="00743523">
          <w:rPr>
            <w:noProof/>
            <w:webHidden/>
          </w:rPr>
          <w:tab/>
        </w:r>
        <w:r w:rsidR="00743523">
          <w:rPr>
            <w:noProof/>
            <w:webHidden/>
          </w:rPr>
          <w:fldChar w:fldCharType="begin"/>
        </w:r>
        <w:r w:rsidR="00743523">
          <w:rPr>
            <w:noProof/>
            <w:webHidden/>
          </w:rPr>
          <w:instrText xml:space="preserve"> PAGEREF _Toc19108527 \h </w:instrText>
        </w:r>
        <w:r w:rsidR="00743523">
          <w:rPr>
            <w:noProof/>
            <w:webHidden/>
          </w:rPr>
        </w:r>
        <w:r w:rsidR="00743523">
          <w:rPr>
            <w:noProof/>
            <w:webHidden/>
          </w:rPr>
          <w:fldChar w:fldCharType="separate"/>
        </w:r>
        <w:r w:rsidR="00743523">
          <w:rPr>
            <w:noProof/>
            <w:webHidden/>
          </w:rPr>
          <w:t>4</w:t>
        </w:r>
        <w:r w:rsidR="00743523">
          <w:rPr>
            <w:noProof/>
            <w:webHidden/>
          </w:rPr>
          <w:fldChar w:fldCharType="end"/>
        </w:r>
      </w:hyperlink>
    </w:p>
    <w:p w14:paraId="50504DFE" w14:textId="77777777" w:rsidR="00743523" w:rsidRDefault="00C72DF0" w:rsidP="00743523">
      <w:pPr>
        <w:pStyle w:val="TOC2"/>
        <w:rPr>
          <w:rFonts w:asciiTheme="minorHAnsi" w:hAnsiTheme="minorHAnsi" w:cstheme="minorBidi"/>
          <w:noProof/>
          <w:lang w:eastAsia="zh-CN"/>
        </w:rPr>
      </w:pPr>
      <w:hyperlink w:anchor="_Toc19108528" w:history="1">
        <w:r w:rsidR="00743523" w:rsidRPr="00A27627">
          <w:rPr>
            <w:rStyle w:val="Hyperlink"/>
            <w:noProof/>
          </w:rPr>
          <w:t>1703.01 Reasonable Accommodation/Auxiliary Aids and Services</w:t>
        </w:r>
        <w:r w:rsidR="00743523">
          <w:rPr>
            <w:noProof/>
            <w:webHidden/>
          </w:rPr>
          <w:tab/>
        </w:r>
        <w:r w:rsidR="00743523">
          <w:rPr>
            <w:noProof/>
            <w:webHidden/>
          </w:rPr>
          <w:fldChar w:fldCharType="begin"/>
        </w:r>
        <w:r w:rsidR="00743523">
          <w:rPr>
            <w:noProof/>
            <w:webHidden/>
          </w:rPr>
          <w:instrText xml:space="preserve"> PAGEREF _Toc19108528 \h </w:instrText>
        </w:r>
        <w:r w:rsidR="00743523">
          <w:rPr>
            <w:noProof/>
            <w:webHidden/>
          </w:rPr>
        </w:r>
        <w:r w:rsidR="00743523">
          <w:rPr>
            <w:noProof/>
            <w:webHidden/>
          </w:rPr>
          <w:fldChar w:fldCharType="separate"/>
        </w:r>
        <w:r w:rsidR="00743523">
          <w:rPr>
            <w:noProof/>
            <w:webHidden/>
          </w:rPr>
          <w:t>4</w:t>
        </w:r>
        <w:r w:rsidR="00743523">
          <w:rPr>
            <w:noProof/>
            <w:webHidden/>
          </w:rPr>
          <w:fldChar w:fldCharType="end"/>
        </w:r>
      </w:hyperlink>
    </w:p>
    <w:p w14:paraId="33CCF71F" w14:textId="77777777" w:rsidR="00743523" w:rsidRDefault="00C72DF0" w:rsidP="00743523">
      <w:pPr>
        <w:pStyle w:val="TOC2"/>
        <w:rPr>
          <w:rFonts w:asciiTheme="minorHAnsi" w:hAnsiTheme="minorHAnsi" w:cstheme="minorBidi"/>
          <w:noProof/>
          <w:lang w:eastAsia="zh-CN"/>
        </w:rPr>
      </w:pPr>
      <w:hyperlink w:anchor="_Toc19108529" w:history="1">
        <w:r w:rsidR="00743523" w:rsidRPr="00A27627">
          <w:rPr>
            <w:rStyle w:val="Hyperlink"/>
            <w:noProof/>
          </w:rPr>
          <w:t>1703.02 Provision of Other Necessary Support Services</w:t>
        </w:r>
        <w:r w:rsidR="00743523">
          <w:rPr>
            <w:noProof/>
            <w:webHidden/>
          </w:rPr>
          <w:tab/>
        </w:r>
        <w:r w:rsidR="00743523">
          <w:rPr>
            <w:noProof/>
            <w:webHidden/>
          </w:rPr>
          <w:fldChar w:fldCharType="begin"/>
        </w:r>
        <w:r w:rsidR="00743523">
          <w:rPr>
            <w:noProof/>
            <w:webHidden/>
          </w:rPr>
          <w:instrText xml:space="preserve"> PAGEREF _Toc19108529 \h </w:instrText>
        </w:r>
        <w:r w:rsidR="00743523">
          <w:rPr>
            <w:noProof/>
            <w:webHidden/>
          </w:rPr>
        </w:r>
        <w:r w:rsidR="00743523">
          <w:rPr>
            <w:noProof/>
            <w:webHidden/>
          </w:rPr>
          <w:fldChar w:fldCharType="separate"/>
        </w:r>
        <w:r w:rsidR="00743523">
          <w:rPr>
            <w:noProof/>
            <w:webHidden/>
          </w:rPr>
          <w:t>6</w:t>
        </w:r>
        <w:r w:rsidR="00743523">
          <w:rPr>
            <w:noProof/>
            <w:webHidden/>
          </w:rPr>
          <w:fldChar w:fldCharType="end"/>
        </w:r>
      </w:hyperlink>
    </w:p>
    <w:p w14:paraId="59311EAD" w14:textId="77777777" w:rsidR="00743523" w:rsidRDefault="00C72DF0" w:rsidP="00743523">
      <w:pPr>
        <w:pStyle w:val="TOC1"/>
        <w:rPr>
          <w:rFonts w:asciiTheme="minorHAnsi" w:hAnsiTheme="minorHAnsi" w:cstheme="minorBidi"/>
          <w:noProof/>
          <w:lang w:eastAsia="zh-CN"/>
        </w:rPr>
      </w:pPr>
      <w:hyperlink w:anchor="_Toc19108530" w:history="1">
        <w:r w:rsidR="00743523" w:rsidRPr="00A27627">
          <w:rPr>
            <w:rStyle w:val="Hyperlink"/>
            <w:noProof/>
          </w:rPr>
          <w:t>1704 Outreach and Collaboration Responsibilities</w:t>
        </w:r>
        <w:r w:rsidR="00743523">
          <w:rPr>
            <w:noProof/>
            <w:webHidden/>
          </w:rPr>
          <w:tab/>
        </w:r>
        <w:r w:rsidR="00743523">
          <w:rPr>
            <w:noProof/>
            <w:webHidden/>
          </w:rPr>
          <w:fldChar w:fldCharType="begin"/>
        </w:r>
        <w:r w:rsidR="00743523">
          <w:rPr>
            <w:noProof/>
            <w:webHidden/>
          </w:rPr>
          <w:instrText xml:space="preserve"> PAGEREF _Toc19108530 \h </w:instrText>
        </w:r>
        <w:r w:rsidR="00743523">
          <w:rPr>
            <w:noProof/>
            <w:webHidden/>
          </w:rPr>
        </w:r>
        <w:r w:rsidR="00743523">
          <w:rPr>
            <w:noProof/>
            <w:webHidden/>
          </w:rPr>
          <w:fldChar w:fldCharType="separate"/>
        </w:r>
        <w:r w:rsidR="00743523">
          <w:rPr>
            <w:noProof/>
            <w:webHidden/>
          </w:rPr>
          <w:t>6</w:t>
        </w:r>
        <w:r w:rsidR="00743523">
          <w:rPr>
            <w:noProof/>
            <w:webHidden/>
          </w:rPr>
          <w:fldChar w:fldCharType="end"/>
        </w:r>
      </w:hyperlink>
    </w:p>
    <w:p w14:paraId="4C72B873" w14:textId="77777777" w:rsidR="00743523" w:rsidRDefault="00C72DF0" w:rsidP="00743523">
      <w:pPr>
        <w:pStyle w:val="TOC1"/>
        <w:rPr>
          <w:rFonts w:asciiTheme="minorHAnsi" w:hAnsiTheme="minorHAnsi" w:cstheme="minorBidi"/>
          <w:noProof/>
          <w:lang w:eastAsia="zh-CN"/>
        </w:rPr>
      </w:pPr>
      <w:hyperlink w:anchor="_Toc19108531" w:history="1">
        <w:r w:rsidR="00743523" w:rsidRPr="00A27627">
          <w:rPr>
            <w:rStyle w:val="Hyperlink"/>
            <w:noProof/>
          </w:rPr>
          <w:t>1705 Provision of Pre-ETS to Students with Disabilities</w:t>
        </w:r>
        <w:r w:rsidR="00743523">
          <w:rPr>
            <w:noProof/>
            <w:webHidden/>
          </w:rPr>
          <w:tab/>
        </w:r>
        <w:r w:rsidR="00743523">
          <w:rPr>
            <w:noProof/>
            <w:webHidden/>
          </w:rPr>
          <w:fldChar w:fldCharType="begin"/>
        </w:r>
        <w:r w:rsidR="00743523">
          <w:rPr>
            <w:noProof/>
            <w:webHidden/>
          </w:rPr>
          <w:instrText xml:space="preserve"> PAGEREF _Toc19108531 \h </w:instrText>
        </w:r>
        <w:r w:rsidR="00743523">
          <w:rPr>
            <w:noProof/>
            <w:webHidden/>
          </w:rPr>
        </w:r>
        <w:r w:rsidR="00743523">
          <w:rPr>
            <w:noProof/>
            <w:webHidden/>
          </w:rPr>
          <w:fldChar w:fldCharType="separate"/>
        </w:r>
        <w:r w:rsidR="00743523">
          <w:rPr>
            <w:noProof/>
            <w:webHidden/>
          </w:rPr>
          <w:t>6</w:t>
        </w:r>
        <w:r w:rsidR="00743523">
          <w:rPr>
            <w:noProof/>
            <w:webHidden/>
          </w:rPr>
          <w:fldChar w:fldCharType="end"/>
        </w:r>
      </w:hyperlink>
    </w:p>
    <w:p w14:paraId="681AF94E" w14:textId="77777777" w:rsidR="00743523" w:rsidRDefault="00C72DF0" w:rsidP="00743523">
      <w:pPr>
        <w:pStyle w:val="TOC1"/>
        <w:rPr>
          <w:rFonts w:asciiTheme="minorHAnsi" w:hAnsiTheme="minorHAnsi" w:cstheme="minorBidi"/>
          <w:noProof/>
          <w:lang w:eastAsia="zh-CN"/>
        </w:rPr>
      </w:pPr>
      <w:hyperlink w:anchor="_Toc19108532" w:history="1">
        <w:r w:rsidR="00743523" w:rsidRPr="00A27627">
          <w:rPr>
            <w:rStyle w:val="Hyperlink"/>
            <w:noProof/>
          </w:rPr>
          <w:t>1706 Pre-ETS Referral Process</w:t>
        </w:r>
        <w:r w:rsidR="00743523">
          <w:rPr>
            <w:noProof/>
            <w:webHidden/>
          </w:rPr>
          <w:tab/>
        </w:r>
        <w:r w:rsidR="00743523">
          <w:rPr>
            <w:noProof/>
            <w:webHidden/>
          </w:rPr>
          <w:fldChar w:fldCharType="begin"/>
        </w:r>
        <w:r w:rsidR="00743523">
          <w:rPr>
            <w:noProof/>
            <w:webHidden/>
          </w:rPr>
          <w:instrText xml:space="preserve"> PAGEREF _Toc19108532 \h </w:instrText>
        </w:r>
        <w:r w:rsidR="00743523">
          <w:rPr>
            <w:noProof/>
            <w:webHidden/>
          </w:rPr>
        </w:r>
        <w:r w:rsidR="00743523">
          <w:rPr>
            <w:noProof/>
            <w:webHidden/>
          </w:rPr>
          <w:fldChar w:fldCharType="separate"/>
        </w:r>
        <w:r w:rsidR="00743523">
          <w:rPr>
            <w:noProof/>
            <w:webHidden/>
          </w:rPr>
          <w:t>7</w:t>
        </w:r>
        <w:r w:rsidR="00743523">
          <w:rPr>
            <w:noProof/>
            <w:webHidden/>
          </w:rPr>
          <w:fldChar w:fldCharType="end"/>
        </w:r>
      </w:hyperlink>
    </w:p>
    <w:p w14:paraId="6DDB03E5" w14:textId="77777777" w:rsidR="00743523" w:rsidRDefault="00C72DF0" w:rsidP="00743523">
      <w:pPr>
        <w:pStyle w:val="TOC1"/>
        <w:rPr>
          <w:rFonts w:asciiTheme="minorHAnsi" w:hAnsiTheme="minorHAnsi" w:cstheme="minorBidi"/>
          <w:noProof/>
          <w:lang w:eastAsia="zh-CN"/>
        </w:rPr>
      </w:pPr>
      <w:hyperlink w:anchor="_Toc19108533" w:history="1">
        <w:r w:rsidR="00743523" w:rsidRPr="00A27627">
          <w:rPr>
            <w:rStyle w:val="Hyperlink"/>
            <w:noProof/>
          </w:rPr>
          <w:t>1707 Provision of Pre-ETS</w:t>
        </w:r>
        <w:r w:rsidR="00743523">
          <w:rPr>
            <w:noProof/>
            <w:webHidden/>
          </w:rPr>
          <w:tab/>
        </w:r>
        <w:r w:rsidR="00743523">
          <w:rPr>
            <w:noProof/>
            <w:webHidden/>
          </w:rPr>
          <w:fldChar w:fldCharType="begin"/>
        </w:r>
        <w:r w:rsidR="00743523">
          <w:rPr>
            <w:noProof/>
            <w:webHidden/>
          </w:rPr>
          <w:instrText xml:space="preserve"> PAGEREF _Toc19108533 \h </w:instrText>
        </w:r>
        <w:r w:rsidR="00743523">
          <w:rPr>
            <w:noProof/>
            <w:webHidden/>
          </w:rPr>
        </w:r>
        <w:r w:rsidR="00743523">
          <w:rPr>
            <w:noProof/>
            <w:webHidden/>
          </w:rPr>
          <w:fldChar w:fldCharType="separate"/>
        </w:r>
        <w:r w:rsidR="00743523">
          <w:rPr>
            <w:noProof/>
            <w:webHidden/>
          </w:rPr>
          <w:t>8</w:t>
        </w:r>
        <w:r w:rsidR="00743523">
          <w:rPr>
            <w:noProof/>
            <w:webHidden/>
          </w:rPr>
          <w:fldChar w:fldCharType="end"/>
        </w:r>
      </w:hyperlink>
    </w:p>
    <w:p w14:paraId="06314AE0" w14:textId="77777777" w:rsidR="00743523" w:rsidRDefault="00C72DF0" w:rsidP="00743523">
      <w:pPr>
        <w:pStyle w:val="TOC2"/>
        <w:rPr>
          <w:rFonts w:asciiTheme="minorHAnsi" w:hAnsiTheme="minorHAnsi" w:cstheme="minorBidi"/>
          <w:noProof/>
          <w:lang w:eastAsia="zh-CN"/>
        </w:rPr>
      </w:pPr>
      <w:hyperlink w:anchor="_Toc19108534" w:history="1">
        <w:r w:rsidR="00743523" w:rsidRPr="00A27627">
          <w:rPr>
            <w:rStyle w:val="Hyperlink"/>
            <w:noProof/>
          </w:rPr>
          <w:t>1707.01 Provision of Pre-Employment Transition Services Using the Pre-ETS Case Type</w:t>
        </w:r>
        <w:r w:rsidR="00743523">
          <w:rPr>
            <w:noProof/>
            <w:webHidden/>
          </w:rPr>
          <w:tab/>
        </w:r>
        <w:r w:rsidR="00743523">
          <w:rPr>
            <w:noProof/>
            <w:webHidden/>
          </w:rPr>
          <w:fldChar w:fldCharType="begin"/>
        </w:r>
        <w:r w:rsidR="00743523">
          <w:rPr>
            <w:noProof/>
            <w:webHidden/>
          </w:rPr>
          <w:instrText xml:space="preserve"> PAGEREF _Toc19108534 \h </w:instrText>
        </w:r>
        <w:r w:rsidR="00743523">
          <w:rPr>
            <w:noProof/>
            <w:webHidden/>
          </w:rPr>
        </w:r>
        <w:r w:rsidR="00743523">
          <w:rPr>
            <w:noProof/>
            <w:webHidden/>
          </w:rPr>
          <w:fldChar w:fldCharType="separate"/>
        </w:r>
        <w:r w:rsidR="00743523">
          <w:rPr>
            <w:noProof/>
            <w:webHidden/>
          </w:rPr>
          <w:t>8</w:t>
        </w:r>
        <w:r w:rsidR="00743523">
          <w:rPr>
            <w:noProof/>
            <w:webHidden/>
          </w:rPr>
          <w:fldChar w:fldCharType="end"/>
        </w:r>
      </w:hyperlink>
    </w:p>
    <w:p w14:paraId="2C122F65" w14:textId="77777777" w:rsidR="00743523" w:rsidRDefault="00C72DF0" w:rsidP="00743523">
      <w:pPr>
        <w:pStyle w:val="TOC2"/>
        <w:rPr>
          <w:rFonts w:asciiTheme="minorHAnsi" w:hAnsiTheme="minorHAnsi" w:cstheme="minorBidi"/>
          <w:noProof/>
          <w:lang w:eastAsia="zh-CN"/>
        </w:rPr>
      </w:pPr>
      <w:hyperlink w:anchor="_Toc19108535" w:history="1">
        <w:r w:rsidR="00743523" w:rsidRPr="00A27627">
          <w:rPr>
            <w:rStyle w:val="Hyperlink"/>
            <w:noProof/>
          </w:rPr>
          <w:t>1707.02 Provision of Pre-Employment Transition Services Using the VR Case Type</w:t>
        </w:r>
        <w:r w:rsidR="00743523">
          <w:rPr>
            <w:noProof/>
            <w:webHidden/>
          </w:rPr>
          <w:tab/>
        </w:r>
        <w:r w:rsidR="00743523">
          <w:rPr>
            <w:noProof/>
            <w:webHidden/>
          </w:rPr>
          <w:fldChar w:fldCharType="begin"/>
        </w:r>
        <w:r w:rsidR="00743523">
          <w:rPr>
            <w:noProof/>
            <w:webHidden/>
          </w:rPr>
          <w:instrText xml:space="preserve"> PAGEREF _Toc19108535 \h </w:instrText>
        </w:r>
        <w:r w:rsidR="00743523">
          <w:rPr>
            <w:noProof/>
            <w:webHidden/>
          </w:rPr>
        </w:r>
        <w:r w:rsidR="00743523">
          <w:rPr>
            <w:noProof/>
            <w:webHidden/>
          </w:rPr>
          <w:fldChar w:fldCharType="separate"/>
        </w:r>
        <w:r w:rsidR="00743523">
          <w:rPr>
            <w:noProof/>
            <w:webHidden/>
          </w:rPr>
          <w:t>9</w:t>
        </w:r>
        <w:r w:rsidR="00743523">
          <w:rPr>
            <w:noProof/>
            <w:webHidden/>
          </w:rPr>
          <w:fldChar w:fldCharType="end"/>
        </w:r>
      </w:hyperlink>
    </w:p>
    <w:p w14:paraId="50B0FC20" w14:textId="77777777" w:rsidR="00743523" w:rsidRDefault="00C72DF0" w:rsidP="00743523">
      <w:pPr>
        <w:pStyle w:val="TOC1"/>
        <w:rPr>
          <w:rFonts w:asciiTheme="minorHAnsi" w:hAnsiTheme="minorHAnsi" w:cstheme="minorBidi"/>
          <w:noProof/>
          <w:lang w:eastAsia="zh-CN"/>
        </w:rPr>
      </w:pPr>
      <w:hyperlink w:anchor="_Toc19108536" w:history="1">
        <w:r w:rsidR="00743523" w:rsidRPr="00A27627">
          <w:rPr>
            <w:rStyle w:val="Hyperlink"/>
            <w:noProof/>
          </w:rPr>
          <w:t>1708 Initiating Vocational Rehabilitation Services After Beginning Pre-Employment Transition Services</w:t>
        </w:r>
        <w:r w:rsidR="00743523">
          <w:rPr>
            <w:noProof/>
            <w:webHidden/>
          </w:rPr>
          <w:tab/>
        </w:r>
        <w:r w:rsidR="00743523">
          <w:rPr>
            <w:noProof/>
            <w:webHidden/>
          </w:rPr>
          <w:fldChar w:fldCharType="begin"/>
        </w:r>
        <w:r w:rsidR="00743523">
          <w:rPr>
            <w:noProof/>
            <w:webHidden/>
          </w:rPr>
          <w:instrText xml:space="preserve"> PAGEREF _Toc19108536 \h </w:instrText>
        </w:r>
        <w:r w:rsidR="00743523">
          <w:rPr>
            <w:noProof/>
            <w:webHidden/>
          </w:rPr>
        </w:r>
        <w:r w:rsidR="00743523">
          <w:rPr>
            <w:noProof/>
            <w:webHidden/>
          </w:rPr>
          <w:fldChar w:fldCharType="separate"/>
        </w:r>
        <w:r w:rsidR="00743523">
          <w:rPr>
            <w:noProof/>
            <w:webHidden/>
          </w:rPr>
          <w:t>10</w:t>
        </w:r>
        <w:r w:rsidR="00743523">
          <w:rPr>
            <w:noProof/>
            <w:webHidden/>
          </w:rPr>
          <w:fldChar w:fldCharType="end"/>
        </w:r>
      </w:hyperlink>
    </w:p>
    <w:p w14:paraId="30C52793" w14:textId="77777777" w:rsidR="00743523" w:rsidRDefault="00C72DF0" w:rsidP="00743523">
      <w:pPr>
        <w:pStyle w:val="TOC2"/>
        <w:rPr>
          <w:rFonts w:asciiTheme="minorHAnsi" w:hAnsiTheme="minorHAnsi" w:cstheme="minorBidi"/>
          <w:noProof/>
          <w:lang w:eastAsia="zh-CN"/>
        </w:rPr>
      </w:pPr>
      <w:hyperlink w:anchor="_Toc19108537" w:history="1">
        <w:r w:rsidR="00743523" w:rsidRPr="00A27627">
          <w:rPr>
            <w:rStyle w:val="Hyperlink"/>
            <w:noProof/>
          </w:rPr>
          <w:t>1708.01 Assignment to an Open Order of Selection Category</w:t>
        </w:r>
        <w:r w:rsidR="00743523">
          <w:rPr>
            <w:noProof/>
            <w:webHidden/>
          </w:rPr>
          <w:tab/>
        </w:r>
        <w:r w:rsidR="00743523">
          <w:rPr>
            <w:noProof/>
            <w:webHidden/>
          </w:rPr>
          <w:fldChar w:fldCharType="begin"/>
        </w:r>
        <w:r w:rsidR="00743523">
          <w:rPr>
            <w:noProof/>
            <w:webHidden/>
          </w:rPr>
          <w:instrText xml:space="preserve"> PAGEREF _Toc19108537 \h </w:instrText>
        </w:r>
        <w:r w:rsidR="00743523">
          <w:rPr>
            <w:noProof/>
            <w:webHidden/>
          </w:rPr>
        </w:r>
        <w:r w:rsidR="00743523">
          <w:rPr>
            <w:noProof/>
            <w:webHidden/>
          </w:rPr>
          <w:fldChar w:fldCharType="separate"/>
        </w:r>
        <w:r w:rsidR="00743523">
          <w:rPr>
            <w:noProof/>
            <w:webHidden/>
          </w:rPr>
          <w:t>10</w:t>
        </w:r>
        <w:r w:rsidR="00743523">
          <w:rPr>
            <w:noProof/>
            <w:webHidden/>
          </w:rPr>
          <w:fldChar w:fldCharType="end"/>
        </w:r>
      </w:hyperlink>
    </w:p>
    <w:p w14:paraId="168C04FA" w14:textId="77777777" w:rsidR="00743523" w:rsidRDefault="00C72DF0" w:rsidP="00743523">
      <w:pPr>
        <w:pStyle w:val="TOC2"/>
        <w:rPr>
          <w:rFonts w:asciiTheme="minorHAnsi" w:hAnsiTheme="minorHAnsi" w:cstheme="minorBidi"/>
          <w:noProof/>
          <w:lang w:eastAsia="zh-CN"/>
        </w:rPr>
      </w:pPr>
      <w:hyperlink w:anchor="_Toc19108538" w:history="1">
        <w:r w:rsidR="00743523" w:rsidRPr="00A27627">
          <w:rPr>
            <w:rStyle w:val="Hyperlink"/>
            <w:noProof/>
          </w:rPr>
          <w:t>1708.02 Assignment to a Closed Order of Selection Category</w:t>
        </w:r>
        <w:r w:rsidR="00743523">
          <w:rPr>
            <w:noProof/>
            <w:webHidden/>
          </w:rPr>
          <w:tab/>
        </w:r>
        <w:r w:rsidR="00743523">
          <w:rPr>
            <w:noProof/>
            <w:webHidden/>
          </w:rPr>
          <w:fldChar w:fldCharType="begin"/>
        </w:r>
        <w:r w:rsidR="00743523">
          <w:rPr>
            <w:noProof/>
            <w:webHidden/>
          </w:rPr>
          <w:instrText xml:space="preserve"> PAGEREF _Toc19108538 \h </w:instrText>
        </w:r>
        <w:r w:rsidR="00743523">
          <w:rPr>
            <w:noProof/>
            <w:webHidden/>
          </w:rPr>
        </w:r>
        <w:r w:rsidR="00743523">
          <w:rPr>
            <w:noProof/>
            <w:webHidden/>
          </w:rPr>
          <w:fldChar w:fldCharType="separate"/>
        </w:r>
        <w:r w:rsidR="00743523">
          <w:rPr>
            <w:noProof/>
            <w:webHidden/>
          </w:rPr>
          <w:t>10</w:t>
        </w:r>
        <w:r w:rsidR="00743523">
          <w:rPr>
            <w:noProof/>
            <w:webHidden/>
          </w:rPr>
          <w:fldChar w:fldCharType="end"/>
        </w:r>
      </w:hyperlink>
    </w:p>
    <w:p w14:paraId="14A7A4BE" w14:textId="77777777" w:rsidR="00743523" w:rsidRDefault="00C72DF0" w:rsidP="00743523">
      <w:pPr>
        <w:pStyle w:val="TOC1"/>
        <w:rPr>
          <w:rFonts w:asciiTheme="minorHAnsi" w:hAnsiTheme="minorHAnsi" w:cstheme="minorBidi"/>
          <w:noProof/>
          <w:lang w:eastAsia="zh-CN"/>
        </w:rPr>
      </w:pPr>
      <w:hyperlink w:anchor="_Toc19108539" w:history="1">
        <w:r w:rsidR="00743523" w:rsidRPr="00A27627">
          <w:rPr>
            <w:rStyle w:val="Hyperlink"/>
            <w:noProof/>
          </w:rPr>
          <w:t>1709 Financial Responsibility for Pre-Employment Transition Services Participation</w:t>
        </w:r>
        <w:r w:rsidR="00743523">
          <w:rPr>
            <w:noProof/>
            <w:webHidden/>
          </w:rPr>
          <w:tab/>
        </w:r>
        <w:r w:rsidR="00743523">
          <w:rPr>
            <w:noProof/>
            <w:webHidden/>
          </w:rPr>
          <w:fldChar w:fldCharType="begin"/>
        </w:r>
        <w:r w:rsidR="00743523">
          <w:rPr>
            <w:noProof/>
            <w:webHidden/>
          </w:rPr>
          <w:instrText xml:space="preserve"> PAGEREF _Toc19108539 \h </w:instrText>
        </w:r>
        <w:r w:rsidR="00743523">
          <w:rPr>
            <w:noProof/>
            <w:webHidden/>
          </w:rPr>
        </w:r>
        <w:r w:rsidR="00743523">
          <w:rPr>
            <w:noProof/>
            <w:webHidden/>
          </w:rPr>
          <w:fldChar w:fldCharType="separate"/>
        </w:r>
        <w:r w:rsidR="00743523">
          <w:rPr>
            <w:noProof/>
            <w:webHidden/>
          </w:rPr>
          <w:t>10</w:t>
        </w:r>
        <w:r w:rsidR="00743523">
          <w:rPr>
            <w:noProof/>
            <w:webHidden/>
          </w:rPr>
          <w:fldChar w:fldCharType="end"/>
        </w:r>
      </w:hyperlink>
    </w:p>
    <w:p w14:paraId="7E67D028" w14:textId="77777777" w:rsidR="00743523" w:rsidRDefault="00C72DF0" w:rsidP="00743523">
      <w:pPr>
        <w:pStyle w:val="TOC2"/>
        <w:rPr>
          <w:rFonts w:asciiTheme="minorHAnsi" w:hAnsiTheme="minorHAnsi" w:cstheme="minorBidi"/>
          <w:noProof/>
          <w:lang w:eastAsia="zh-CN"/>
        </w:rPr>
      </w:pPr>
      <w:hyperlink w:anchor="_Toc19108540" w:history="1">
        <w:r w:rsidR="00743523" w:rsidRPr="00A27627">
          <w:rPr>
            <w:rStyle w:val="Hyperlink"/>
            <w:noProof/>
          </w:rPr>
          <w:t>1709.01 Financial Responsibility Using the Pre-ETS Case Type</w:t>
        </w:r>
        <w:r w:rsidR="00743523">
          <w:rPr>
            <w:noProof/>
            <w:webHidden/>
          </w:rPr>
          <w:tab/>
        </w:r>
        <w:r w:rsidR="00743523">
          <w:rPr>
            <w:noProof/>
            <w:webHidden/>
          </w:rPr>
          <w:fldChar w:fldCharType="begin"/>
        </w:r>
        <w:r w:rsidR="00743523">
          <w:rPr>
            <w:noProof/>
            <w:webHidden/>
          </w:rPr>
          <w:instrText xml:space="preserve"> PAGEREF _Toc19108540 \h </w:instrText>
        </w:r>
        <w:r w:rsidR="00743523">
          <w:rPr>
            <w:noProof/>
            <w:webHidden/>
          </w:rPr>
        </w:r>
        <w:r w:rsidR="00743523">
          <w:rPr>
            <w:noProof/>
            <w:webHidden/>
          </w:rPr>
          <w:fldChar w:fldCharType="separate"/>
        </w:r>
        <w:r w:rsidR="00743523">
          <w:rPr>
            <w:noProof/>
            <w:webHidden/>
          </w:rPr>
          <w:t>10</w:t>
        </w:r>
        <w:r w:rsidR="00743523">
          <w:rPr>
            <w:noProof/>
            <w:webHidden/>
          </w:rPr>
          <w:fldChar w:fldCharType="end"/>
        </w:r>
      </w:hyperlink>
    </w:p>
    <w:p w14:paraId="6FA98524" w14:textId="77777777" w:rsidR="00743523" w:rsidRDefault="00C72DF0" w:rsidP="00743523">
      <w:pPr>
        <w:pStyle w:val="TOC2"/>
        <w:rPr>
          <w:rFonts w:asciiTheme="minorHAnsi" w:hAnsiTheme="minorHAnsi" w:cstheme="minorBidi"/>
          <w:noProof/>
          <w:lang w:eastAsia="zh-CN"/>
        </w:rPr>
      </w:pPr>
      <w:hyperlink w:anchor="_Toc19108541" w:history="1">
        <w:r w:rsidR="00743523" w:rsidRPr="00A27627">
          <w:rPr>
            <w:rStyle w:val="Hyperlink"/>
            <w:noProof/>
          </w:rPr>
          <w:t>1709.02 Financial Responsibility Using the VR Case Type</w:t>
        </w:r>
        <w:r w:rsidR="00743523">
          <w:rPr>
            <w:noProof/>
            <w:webHidden/>
          </w:rPr>
          <w:tab/>
        </w:r>
        <w:r w:rsidR="00743523">
          <w:rPr>
            <w:noProof/>
            <w:webHidden/>
          </w:rPr>
          <w:fldChar w:fldCharType="begin"/>
        </w:r>
        <w:r w:rsidR="00743523">
          <w:rPr>
            <w:noProof/>
            <w:webHidden/>
          </w:rPr>
          <w:instrText xml:space="preserve"> PAGEREF _Toc19108541 \h </w:instrText>
        </w:r>
        <w:r w:rsidR="00743523">
          <w:rPr>
            <w:noProof/>
            <w:webHidden/>
          </w:rPr>
        </w:r>
        <w:r w:rsidR="00743523">
          <w:rPr>
            <w:noProof/>
            <w:webHidden/>
          </w:rPr>
          <w:fldChar w:fldCharType="separate"/>
        </w:r>
        <w:r w:rsidR="00743523">
          <w:rPr>
            <w:noProof/>
            <w:webHidden/>
          </w:rPr>
          <w:t>11</w:t>
        </w:r>
        <w:r w:rsidR="00743523">
          <w:rPr>
            <w:noProof/>
            <w:webHidden/>
          </w:rPr>
          <w:fldChar w:fldCharType="end"/>
        </w:r>
      </w:hyperlink>
    </w:p>
    <w:p w14:paraId="5565A499" w14:textId="77777777" w:rsidR="00743523" w:rsidRDefault="00C72DF0" w:rsidP="00743523">
      <w:pPr>
        <w:pStyle w:val="TOC1"/>
        <w:rPr>
          <w:rFonts w:asciiTheme="minorHAnsi" w:hAnsiTheme="minorHAnsi" w:cstheme="minorBidi"/>
          <w:noProof/>
          <w:lang w:eastAsia="zh-CN"/>
        </w:rPr>
      </w:pPr>
      <w:hyperlink w:anchor="_Toc19108542" w:history="1">
        <w:r w:rsidR="00743523" w:rsidRPr="00A27627">
          <w:rPr>
            <w:rStyle w:val="Hyperlink"/>
            <w:noProof/>
          </w:rPr>
          <w:t>1710 Discontinuation of Pre-Employment Transitioning Services and/or Closure of Service Records</w:t>
        </w:r>
        <w:r w:rsidR="00743523">
          <w:rPr>
            <w:noProof/>
            <w:webHidden/>
          </w:rPr>
          <w:tab/>
        </w:r>
        <w:r w:rsidR="00743523">
          <w:rPr>
            <w:noProof/>
            <w:webHidden/>
          </w:rPr>
          <w:fldChar w:fldCharType="begin"/>
        </w:r>
        <w:r w:rsidR="00743523">
          <w:rPr>
            <w:noProof/>
            <w:webHidden/>
          </w:rPr>
          <w:instrText xml:space="preserve"> PAGEREF _Toc19108542 \h </w:instrText>
        </w:r>
        <w:r w:rsidR="00743523">
          <w:rPr>
            <w:noProof/>
            <w:webHidden/>
          </w:rPr>
        </w:r>
        <w:r w:rsidR="00743523">
          <w:rPr>
            <w:noProof/>
            <w:webHidden/>
          </w:rPr>
          <w:fldChar w:fldCharType="separate"/>
        </w:r>
        <w:r w:rsidR="00743523">
          <w:rPr>
            <w:noProof/>
            <w:webHidden/>
          </w:rPr>
          <w:t>11</w:t>
        </w:r>
        <w:r w:rsidR="00743523">
          <w:rPr>
            <w:noProof/>
            <w:webHidden/>
          </w:rPr>
          <w:fldChar w:fldCharType="end"/>
        </w:r>
      </w:hyperlink>
    </w:p>
    <w:p w14:paraId="3768586D" w14:textId="77777777" w:rsidR="00743523" w:rsidRDefault="00C72DF0" w:rsidP="00743523">
      <w:pPr>
        <w:pStyle w:val="TOC2"/>
        <w:rPr>
          <w:rFonts w:asciiTheme="minorHAnsi" w:hAnsiTheme="minorHAnsi" w:cstheme="minorBidi"/>
          <w:noProof/>
          <w:lang w:eastAsia="zh-CN"/>
        </w:rPr>
      </w:pPr>
      <w:hyperlink w:anchor="_Toc19108543" w:history="1">
        <w:r w:rsidR="00743523" w:rsidRPr="00A27627">
          <w:rPr>
            <w:rStyle w:val="Hyperlink"/>
            <w:noProof/>
          </w:rPr>
          <w:t>1710.01 Discontinuation of Services</w:t>
        </w:r>
        <w:r w:rsidR="00743523">
          <w:rPr>
            <w:noProof/>
            <w:webHidden/>
          </w:rPr>
          <w:tab/>
        </w:r>
        <w:r w:rsidR="00743523">
          <w:rPr>
            <w:noProof/>
            <w:webHidden/>
          </w:rPr>
          <w:fldChar w:fldCharType="begin"/>
        </w:r>
        <w:r w:rsidR="00743523">
          <w:rPr>
            <w:noProof/>
            <w:webHidden/>
          </w:rPr>
          <w:instrText xml:space="preserve"> PAGEREF _Toc19108543 \h </w:instrText>
        </w:r>
        <w:r w:rsidR="00743523">
          <w:rPr>
            <w:noProof/>
            <w:webHidden/>
          </w:rPr>
        </w:r>
        <w:r w:rsidR="00743523">
          <w:rPr>
            <w:noProof/>
            <w:webHidden/>
          </w:rPr>
          <w:fldChar w:fldCharType="separate"/>
        </w:r>
        <w:r w:rsidR="00743523">
          <w:rPr>
            <w:noProof/>
            <w:webHidden/>
          </w:rPr>
          <w:t>11</w:t>
        </w:r>
        <w:r w:rsidR="00743523">
          <w:rPr>
            <w:noProof/>
            <w:webHidden/>
          </w:rPr>
          <w:fldChar w:fldCharType="end"/>
        </w:r>
      </w:hyperlink>
    </w:p>
    <w:p w14:paraId="39151514" w14:textId="77777777" w:rsidR="00743523" w:rsidRDefault="00C72DF0" w:rsidP="00743523">
      <w:pPr>
        <w:pStyle w:val="TOC2"/>
        <w:rPr>
          <w:rFonts w:asciiTheme="minorHAnsi" w:hAnsiTheme="minorHAnsi" w:cstheme="minorBidi"/>
          <w:noProof/>
          <w:lang w:eastAsia="zh-CN"/>
        </w:rPr>
      </w:pPr>
      <w:hyperlink w:anchor="_Toc19108544" w:history="1">
        <w:r w:rsidR="00743523" w:rsidRPr="00A27627">
          <w:rPr>
            <w:rStyle w:val="Hyperlink"/>
            <w:noProof/>
          </w:rPr>
          <w:t>1710.02 Closure of the Service Record</w:t>
        </w:r>
        <w:r w:rsidR="00743523">
          <w:rPr>
            <w:noProof/>
            <w:webHidden/>
          </w:rPr>
          <w:tab/>
        </w:r>
        <w:r w:rsidR="00743523">
          <w:rPr>
            <w:noProof/>
            <w:webHidden/>
          </w:rPr>
          <w:fldChar w:fldCharType="begin"/>
        </w:r>
        <w:r w:rsidR="00743523">
          <w:rPr>
            <w:noProof/>
            <w:webHidden/>
          </w:rPr>
          <w:instrText xml:space="preserve"> PAGEREF _Toc19108544 \h </w:instrText>
        </w:r>
        <w:r w:rsidR="00743523">
          <w:rPr>
            <w:noProof/>
            <w:webHidden/>
          </w:rPr>
        </w:r>
        <w:r w:rsidR="00743523">
          <w:rPr>
            <w:noProof/>
            <w:webHidden/>
          </w:rPr>
          <w:fldChar w:fldCharType="separate"/>
        </w:r>
        <w:r w:rsidR="00743523">
          <w:rPr>
            <w:noProof/>
            <w:webHidden/>
          </w:rPr>
          <w:t>11</w:t>
        </w:r>
        <w:r w:rsidR="00743523">
          <w:rPr>
            <w:noProof/>
            <w:webHidden/>
          </w:rPr>
          <w:fldChar w:fldCharType="end"/>
        </w:r>
      </w:hyperlink>
    </w:p>
    <w:p w14:paraId="096B72B2" w14:textId="5BACF47F" w:rsidR="00F11909" w:rsidRPr="00BB4FAD" w:rsidRDefault="00743523" w:rsidP="00BB4FAD">
      <w:pPr>
        <w:spacing w:before="120" w:after="0"/>
        <w:rPr>
          <w:b/>
        </w:rPr>
      </w:pPr>
      <w:r>
        <w:rPr>
          <w:b/>
        </w:rPr>
        <w:fldChar w:fldCharType="end"/>
      </w:r>
      <w:r w:rsidR="00F11909" w:rsidRPr="00BB4FAD">
        <w:rPr>
          <w:b/>
        </w:rPr>
        <w:t>Attachment:</w:t>
      </w:r>
    </w:p>
    <w:p w14:paraId="32E784DD" w14:textId="57F1F2A2" w:rsidR="00987427" w:rsidRDefault="00C72DF0" w:rsidP="00652BB4">
      <w:pPr>
        <w:spacing w:after="0"/>
        <w:ind w:firstLine="540"/>
      </w:pPr>
      <w:hyperlink r:id="rId11" w:history="1">
        <w:r w:rsidR="00987427" w:rsidRPr="00BB4FAD">
          <w:rPr>
            <w:rStyle w:val="Hyperlink"/>
          </w:rPr>
          <w:t>1700-1 Pre-Employment Transition Services Desk Reference</w:t>
        </w:r>
      </w:hyperlink>
    </w:p>
    <w:p w14:paraId="4D9BFBB7" w14:textId="409DF846" w:rsidR="00895CC1" w:rsidRDefault="00C72DF0" w:rsidP="00652BB4">
      <w:pPr>
        <w:spacing w:after="0"/>
        <w:ind w:firstLine="540"/>
      </w:pPr>
      <w:hyperlink r:id="rId12" w:history="1">
        <w:r w:rsidR="00987427" w:rsidRPr="00BB4FAD">
          <w:rPr>
            <w:rStyle w:val="Hyperlink"/>
          </w:rPr>
          <w:t>1700-2 Work-Based Learning Experience (WBLE) Desk Reference</w:t>
        </w:r>
      </w:hyperlink>
    </w:p>
    <w:p w14:paraId="52AE7C63" w14:textId="12B45276" w:rsidR="00895CC1" w:rsidRDefault="00C72DF0" w:rsidP="00652BB4">
      <w:pPr>
        <w:spacing w:after="0"/>
        <w:ind w:firstLine="540"/>
      </w:pPr>
      <w:hyperlink r:id="rId13" w:history="1">
        <w:r w:rsidR="00895CC1" w:rsidRPr="00BB4FAD">
          <w:rPr>
            <w:rStyle w:val="Hyperlink"/>
          </w:rPr>
          <w:t>1700-3 Project SEARCH Desk Reference</w:t>
        </w:r>
      </w:hyperlink>
    </w:p>
    <w:p w14:paraId="01789E81" w14:textId="3362E2C8" w:rsidR="00510E19" w:rsidRDefault="00510E19" w:rsidP="00652BB4">
      <w:pPr>
        <w:spacing w:after="0"/>
        <w:ind w:firstLine="540"/>
      </w:pPr>
      <w:bookmarkStart w:id="0" w:name="_GoBack"/>
      <w:bookmarkEnd w:id="0"/>
    </w:p>
    <w:p w14:paraId="096B72B5" w14:textId="741487E6" w:rsidR="00B54A7B" w:rsidRDefault="00C72DF0" w:rsidP="00895CC1">
      <w:pPr>
        <w:spacing w:after="0"/>
        <w:rPr>
          <w:rFonts w:eastAsia="Times New Roman"/>
          <w:color w:val="000000"/>
          <w:sz w:val="24"/>
          <w:szCs w:val="24"/>
        </w:rPr>
      </w:pPr>
      <w:r>
        <w:rPr>
          <w:rFonts w:eastAsia="Times New Roman"/>
          <w:color w:val="000000"/>
          <w:sz w:val="24"/>
          <w:szCs w:val="24"/>
        </w:rPr>
        <w:pict w14:anchorId="096B73E5">
          <v:rect id="_x0000_i1025" style="width:0;height:1.5pt" o:hralign="center" o:hrstd="t" o:hrnoshade="t" o:hr="t" fillcolor="#633" stroked="f"/>
        </w:pict>
      </w:r>
    </w:p>
    <w:p w14:paraId="32C06B21" w14:textId="43A4C0C0" w:rsidR="009B1F5D" w:rsidRPr="00D648AC" w:rsidRDefault="009B1F5D" w:rsidP="00743523">
      <w:pPr>
        <w:pStyle w:val="Heading2"/>
        <w:spacing w:before="0"/>
      </w:pPr>
      <w:bookmarkStart w:id="1" w:name="_301_DORS_Case"/>
      <w:bookmarkStart w:id="2" w:name="a1700"/>
      <w:bookmarkStart w:id="3" w:name="_Toc19108519"/>
      <w:bookmarkEnd w:id="1"/>
      <w:bookmarkEnd w:id="2"/>
      <w:r w:rsidRPr="00D648AC">
        <w:lastRenderedPageBreak/>
        <w:t>1700 Pre-Employment Transition Services, Coordination and Planning for Students with Disabilities</w:t>
      </w:r>
      <w:bookmarkEnd w:id="3"/>
    </w:p>
    <w:p w14:paraId="450EA762" w14:textId="77777777" w:rsidR="00D648AC" w:rsidRDefault="00D648AC" w:rsidP="00D648AC">
      <w:pPr>
        <w:spacing w:after="0"/>
      </w:pPr>
    </w:p>
    <w:p w14:paraId="1ADA9A0C" w14:textId="506EC878" w:rsidR="009B1F5D" w:rsidRPr="00C0508E" w:rsidRDefault="009B1F5D" w:rsidP="00D648AC">
      <w:pPr>
        <w:spacing w:after="0"/>
      </w:pPr>
      <w:r w:rsidRPr="00C0508E">
        <w:t>In July 2014, the Workforce Innovation and Opportunity Act (WIOA) was signed into law. WIOA requires a vocational rehabilitation (VR) agency to reserve 15% of its federal funds to provide pre-employment transition services (Pre-ETS) to students with disabilities.</w:t>
      </w:r>
      <w:r w:rsidR="00743523">
        <w:t xml:space="preserve"> </w:t>
      </w:r>
      <w:r w:rsidRPr="00C0508E">
        <w:t>This section includes guidance for providing these services statewide in collaboration with state and local education agencies.</w:t>
      </w:r>
      <w:r w:rsidR="00D648AC">
        <w:br/>
      </w:r>
    </w:p>
    <w:p w14:paraId="763289D1" w14:textId="147DF6F7" w:rsidR="009B1F5D" w:rsidRPr="00D648AC" w:rsidRDefault="009B1F5D" w:rsidP="00D648AC">
      <w:pPr>
        <w:pStyle w:val="Heading2"/>
      </w:pPr>
      <w:bookmarkStart w:id="4" w:name="a1701"/>
      <w:bookmarkStart w:id="5" w:name="_Toc19108520"/>
      <w:bookmarkEnd w:id="4"/>
      <w:r w:rsidRPr="00D648AC">
        <w:t>1701 Target Population</w:t>
      </w:r>
      <w:bookmarkEnd w:id="5"/>
      <w:r w:rsidRPr="00D648AC">
        <w:t xml:space="preserve"> </w:t>
      </w:r>
    </w:p>
    <w:p w14:paraId="2C058AB3" w14:textId="77777777" w:rsidR="00D648AC" w:rsidRDefault="00D648AC" w:rsidP="00D648AC">
      <w:pPr>
        <w:spacing w:after="0"/>
      </w:pPr>
    </w:p>
    <w:p w14:paraId="0BDE0453" w14:textId="43032B4E" w:rsidR="009B1F5D" w:rsidRDefault="00120F06" w:rsidP="00D648AC">
      <w:pPr>
        <w:spacing w:after="0"/>
      </w:pPr>
      <w:r w:rsidRPr="00C0508E">
        <w:t>Pre-ETS</w:t>
      </w:r>
      <w:r w:rsidR="009B1F5D">
        <w:t xml:space="preserve"> are provided to “students with disabilities” who are:</w:t>
      </w:r>
    </w:p>
    <w:p w14:paraId="6BA6BE3B" w14:textId="77777777" w:rsidR="00D648AC" w:rsidRDefault="00D648AC" w:rsidP="00D648AC">
      <w:pPr>
        <w:spacing w:after="0"/>
      </w:pPr>
    </w:p>
    <w:p w14:paraId="5F589F1F" w14:textId="3D72DD2C" w:rsidR="009B1F5D" w:rsidRDefault="009B1F5D" w:rsidP="00D648AC">
      <w:pPr>
        <w:pStyle w:val="ListParagraph"/>
        <w:numPr>
          <w:ilvl w:val="0"/>
          <w:numId w:val="1"/>
        </w:numPr>
        <w:spacing w:after="0"/>
      </w:pPr>
      <w:r>
        <w:t xml:space="preserve">Eligible for VR services; or </w:t>
      </w:r>
    </w:p>
    <w:p w14:paraId="76DCC907" w14:textId="77777777" w:rsidR="00D648AC" w:rsidRDefault="00D648AC" w:rsidP="00D648AC">
      <w:pPr>
        <w:pStyle w:val="ListParagraph"/>
        <w:spacing w:after="0"/>
      </w:pPr>
    </w:p>
    <w:p w14:paraId="65DD403A" w14:textId="7A9BB460" w:rsidR="009B1F5D" w:rsidRDefault="009B1F5D" w:rsidP="00D648AC">
      <w:pPr>
        <w:pStyle w:val="ListParagraph"/>
        <w:numPr>
          <w:ilvl w:val="0"/>
          <w:numId w:val="1"/>
        </w:numPr>
        <w:spacing w:after="0"/>
      </w:pPr>
      <w:r>
        <w:t>Potentially eligible for VR services (i.e., all students with disabilities, including those who have not applied or been determined eligible for VR services)</w:t>
      </w:r>
    </w:p>
    <w:p w14:paraId="0F190B74" w14:textId="77777777" w:rsidR="00D648AC" w:rsidRDefault="00D648AC" w:rsidP="00D648AC">
      <w:pPr>
        <w:spacing w:after="0"/>
      </w:pPr>
    </w:p>
    <w:p w14:paraId="49105C54" w14:textId="4263CD72" w:rsidR="009B1F5D" w:rsidRDefault="009B1F5D" w:rsidP="00D648AC">
      <w:pPr>
        <w:spacing w:after="0"/>
      </w:pPr>
      <w:r>
        <w:t>A “</w:t>
      </w:r>
      <w:bookmarkStart w:id="6" w:name="SwaD"/>
      <w:r>
        <w:t>Student with a Disability</w:t>
      </w:r>
      <w:bookmarkEnd w:id="6"/>
      <w:r>
        <w:t xml:space="preserve">” is one who meets all of the following criteria: </w:t>
      </w:r>
    </w:p>
    <w:p w14:paraId="4ED928FF" w14:textId="77777777" w:rsidR="00D648AC" w:rsidRDefault="00D648AC" w:rsidP="00D648AC">
      <w:pPr>
        <w:spacing w:after="0"/>
      </w:pPr>
    </w:p>
    <w:p w14:paraId="5F6C4CF4" w14:textId="451B581E" w:rsidR="009B1F5D" w:rsidRDefault="009B1F5D" w:rsidP="00D648AC">
      <w:pPr>
        <w:pStyle w:val="ListParagraph"/>
        <w:numPr>
          <w:ilvl w:val="0"/>
          <w:numId w:val="2"/>
        </w:numPr>
        <w:spacing w:after="0"/>
      </w:pPr>
      <w:r>
        <w:t>Is at least 14 but no more than 21 years of age (has not yet reached 22nd birthday).</w:t>
      </w:r>
    </w:p>
    <w:p w14:paraId="7C069FE4" w14:textId="77777777" w:rsidR="00D648AC" w:rsidRDefault="00D648AC" w:rsidP="00D648AC">
      <w:pPr>
        <w:pStyle w:val="ListParagraph"/>
        <w:spacing w:after="0"/>
      </w:pPr>
    </w:p>
    <w:p w14:paraId="249035D8" w14:textId="734647E9" w:rsidR="009B1F5D" w:rsidRDefault="009B1F5D" w:rsidP="00D648AC">
      <w:pPr>
        <w:pStyle w:val="ListParagraph"/>
        <w:numPr>
          <w:ilvl w:val="0"/>
          <w:numId w:val="2"/>
        </w:numPr>
        <w:spacing w:after="0"/>
      </w:pPr>
      <w:r>
        <w:t>Has a disability, and has submitted the required qualifying medical documentation signed by a medical provider or a copy of IEP or 504 Plan.</w:t>
      </w:r>
    </w:p>
    <w:p w14:paraId="2530E531" w14:textId="77777777" w:rsidR="00D648AC" w:rsidRDefault="00D648AC" w:rsidP="00D648AC">
      <w:pPr>
        <w:pStyle w:val="ListParagraph"/>
        <w:spacing w:after="0"/>
      </w:pPr>
    </w:p>
    <w:p w14:paraId="2A7C0E97" w14:textId="79948F10" w:rsidR="009B1F5D" w:rsidRDefault="009B1F5D" w:rsidP="00D648AC">
      <w:pPr>
        <w:pStyle w:val="ListParagraph"/>
        <w:numPr>
          <w:ilvl w:val="0"/>
          <w:numId w:val="2"/>
        </w:numPr>
        <w:spacing w:after="0"/>
      </w:pPr>
      <w:r>
        <w:t>Has documentation confirming enrollment as a student in an educational program, including:</w:t>
      </w:r>
    </w:p>
    <w:p w14:paraId="5FD549E9" w14:textId="77777777" w:rsidR="00D648AC" w:rsidRDefault="00D648AC" w:rsidP="00D648AC">
      <w:pPr>
        <w:pStyle w:val="ListParagraph"/>
        <w:spacing w:after="0"/>
      </w:pPr>
    </w:p>
    <w:p w14:paraId="698AE858" w14:textId="53414323" w:rsidR="009B1F5D" w:rsidRDefault="009B1F5D" w:rsidP="00D648AC">
      <w:pPr>
        <w:pStyle w:val="ListParagraph"/>
        <w:numPr>
          <w:ilvl w:val="1"/>
          <w:numId w:val="3"/>
        </w:numPr>
        <w:spacing w:after="0"/>
        <w:ind w:left="1080"/>
      </w:pPr>
      <w:r>
        <w:t>Secondary school, including home school and alternative school programs (e.g., those housed within the juvenile justice system)</w:t>
      </w:r>
    </w:p>
    <w:p w14:paraId="43C993B9" w14:textId="77777777" w:rsidR="00D648AC" w:rsidRDefault="00D648AC" w:rsidP="00D648AC">
      <w:pPr>
        <w:pStyle w:val="ListParagraph"/>
        <w:spacing w:after="0"/>
        <w:ind w:left="1080" w:hanging="360"/>
      </w:pPr>
    </w:p>
    <w:p w14:paraId="61BAE00F" w14:textId="6BA12773" w:rsidR="009B1F5D" w:rsidRDefault="009B1F5D" w:rsidP="00D648AC">
      <w:pPr>
        <w:pStyle w:val="ListParagraph"/>
        <w:numPr>
          <w:ilvl w:val="1"/>
          <w:numId w:val="3"/>
        </w:numPr>
        <w:spacing w:after="0"/>
        <w:ind w:left="1080"/>
      </w:pPr>
      <w:r>
        <w:t>Post-secondary education programs approved by a state’s Higher Education Commission (i.e., Maryland Higher Education Commission</w:t>
      </w:r>
      <w:r w:rsidR="00120F06">
        <w:t>)</w:t>
      </w:r>
    </w:p>
    <w:p w14:paraId="2734E5E4" w14:textId="77777777" w:rsidR="00D648AC" w:rsidRDefault="00D648AC" w:rsidP="00D648AC">
      <w:pPr>
        <w:pStyle w:val="ListParagraph"/>
        <w:spacing w:after="0"/>
        <w:ind w:left="1080" w:hanging="360"/>
      </w:pPr>
    </w:p>
    <w:p w14:paraId="10C3C688" w14:textId="28897CD0" w:rsidR="009B1F5D" w:rsidRDefault="009B1F5D" w:rsidP="00D648AC">
      <w:pPr>
        <w:pStyle w:val="ListParagraph"/>
        <w:numPr>
          <w:ilvl w:val="1"/>
          <w:numId w:val="3"/>
        </w:numPr>
        <w:spacing w:after="0"/>
        <w:ind w:left="1080"/>
      </w:pPr>
      <w:r>
        <w:t>Adult basic educational programs which lead to a recognized educational credential (e.g., GED or high school diploma)</w:t>
      </w:r>
    </w:p>
    <w:p w14:paraId="336432D2" w14:textId="77777777" w:rsidR="00D648AC" w:rsidRDefault="00D648AC" w:rsidP="00D648AC">
      <w:pPr>
        <w:pStyle w:val="ListParagraph"/>
        <w:spacing w:after="0"/>
        <w:ind w:left="1080" w:hanging="360"/>
      </w:pPr>
    </w:p>
    <w:p w14:paraId="6DEED5E7" w14:textId="77D1C9E8" w:rsidR="009B1F5D" w:rsidRDefault="009B1F5D" w:rsidP="00D648AC">
      <w:pPr>
        <w:pStyle w:val="ListParagraph"/>
        <w:numPr>
          <w:ilvl w:val="1"/>
          <w:numId w:val="3"/>
        </w:numPr>
        <w:spacing w:after="0"/>
        <w:ind w:left="1080"/>
      </w:pPr>
      <w:r>
        <w:t>State, nationally, or industry recognized certificate programs leading to a credential (e.g. Certified Nursing Assistant, Phlebotomy Technician, Microsoft Certification, Commercial Driver’s License Certification, Automotive Service Excellence Certification).</w:t>
      </w:r>
    </w:p>
    <w:p w14:paraId="148169EE" w14:textId="77777777" w:rsidR="00D648AC" w:rsidRDefault="00D648AC" w:rsidP="00D648AC">
      <w:pPr>
        <w:spacing w:after="0"/>
      </w:pPr>
    </w:p>
    <w:p w14:paraId="7E90F35A" w14:textId="7F49DA1C" w:rsidR="009B1F5D" w:rsidRDefault="00895CC1" w:rsidP="00D648AC">
      <w:pPr>
        <w:spacing w:after="0"/>
      </w:pPr>
      <w:r w:rsidRPr="00895CC1">
        <w:t xml:space="preserve">Documentation of enrollment may include an IEP, 504 Plan, report card, college acceptance letter, college registration receipt, or other documentation from the educational program, and must be current each time a </w:t>
      </w:r>
      <w:hyperlink r:id="rId14" w:anchor="rs10c" w:history="1">
        <w:r w:rsidRPr="00BB4FAD">
          <w:rPr>
            <w:rStyle w:val="Hyperlink"/>
          </w:rPr>
          <w:t xml:space="preserve">Pre-ETS Agreement </w:t>
        </w:r>
        <w:r w:rsidR="00C028F2" w:rsidRPr="00BB4FAD">
          <w:rPr>
            <w:rStyle w:val="Hyperlink"/>
          </w:rPr>
          <w:t>(RS-10c)</w:t>
        </w:r>
      </w:hyperlink>
      <w:r w:rsidR="00C028F2">
        <w:t xml:space="preserve"> </w:t>
      </w:r>
      <w:r w:rsidRPr="00895CC1">
        <w:t>is initiated to demonstrate that the student continues to qualify for these services.</w:t>
      </w:r>
      <w:r w:rsidR="00D648AC">
        <w:br/>
      </w:r>
    </w:p>
    <w:p w14:paraId="13F8CE75" w14:textId="27B86C6E" w:rsidR="009B1F5D" w:rsidRPr="00D648AC" w:rsidRDefault="009B1F5D" w:rsidP="00D648AC">
      <w:pPr>
        <w:pStyle w:val="Heading2"/>
      </w:pPr>
      <w:bookmarkStart w:id="7" w:name="a1702"/>
      <w:bookmarkStart w:id="8" w:name="_Toc19108521"/>
      <w:bookmarkEnd w:id="7"/>
      <w:r w:rsidRPr="00D648AC">
        <w:t>1702</w:t>
      </w:r>
      <w:r w:rsidR="00743523">
        <w:t xml:space="preserve"> </w:t>
      </w:r>
      <w:r w:rsidRPr="00D648AC">
        <w:t>Required Services and Statewide Availability</w:t>
      </w:r>
      <w:bookmarkEnd w:id="8"/>
      <w:r w:rsidR="00743523">
        <w:t xml:space="preserve"> </w:t>
      </w:r>
    </w:p>
    <w:p w14:paraId="63ACF83C" w14:textId="77777777" w:rsidR="00D648AC" w:rsidRDefault="00D648AC" w:rsidP="00D648AC">
      <w:pPr>
        <w:spacing w:after="0"/>
      </w:pPr>
    </w:p>
    <w:p w14:paraId="4B151F3E" w14:textId="3709448A" w:rsidR="009B1F5D" w:rsidRDefault="009B1F5D" w:rsidP="00D648AC">
      <w:pPr>
        <w:spacing w:after="0"/>
      </w:pPr>
      <w:r>
        <w:t xml:space="preserve">The primary purpose of </w:t>
      </w:r>
      <w:r w:rsidR="00D648AC" w:rsidRPr="00895CC1">
        <w:t>Pre-</w:t>
      </w:r>
      <w:r w:rsidR="00D648AC">
        <w:t xml:space="preserve">ETS </w:t>
      </w:r>
      <w:r>
        <w:t>provided or coordinated by the Division is to help students begin to identify career interests and to learn skills in preparation for transition to employment and/or post-secondary education.</w:t>
      </w:r>
      <w:r w:rsidR="00743523">
        <w:t xml:space="preserve"> </w:t>
      </w:r>
      <w:r>
        <w:t>The Division will make every effort to provide or coordinate the following services to ensure statewide availability.</w:t>
      </w:r>
    </w:p>
    <w:p w14:paraId="7DBBF447" w14:textId="77777777" w:rsidR="00D648AC" w:rsidRDefault="00D648AC" w:rsidP="00D648AC">
      <w:pPr>
        <w:spacing w:after="0"/>
        <w:rPr>
          <w:b/>
        </w:rPr>
      </w:pPr>
    </w:p>
    <w:p w14:paraId="045C64F8" w14:textId="0698A968" w:rsidR="009B1F5D" w:rsidRDefault="009B1F5D" w:rsidP="00D648AC">
      <w:pPr>
        <w:spacing w:after="0"/>
      </w:pPr>
      <w:r w:rsidRPr="009B1F5D">
        <w:rPr>
          <w:b/>
        </w:rPr>
        <w:lastRenderedPageBreak/>
        <w:t>Description of Required Services</w:t>
      </w:r>
      <w:r>
        <w:t xml:space="preserve"> – </w:t>
      </w:r>
      <w:r w:rsidR="00D648AC" w:rsidRPr="00895CC1">
        <w:t>Pre-</w:t>
      </w:r>
      <w:r w:rsidR="00D648AC">
        <w:t xml:space="preserve">ETS </w:t>
      </w:r>
      <w:r>
        <w:t>may be provided in a group or generalized classroom setting and/or an individualized setting and are limited to any or all of the services outlined below:</w:t>
      </w:r>
    </w:p>
    <w:p w14:paraId="29A7A4BE" w14:textId="77777777" w:rsidR="00D648AC" w:rsidRDefault="00D648AC" w:rsidP="00D648AC">
      <w:pPr>
        <w:spacing w:after="0"/>
      </w:pPr>
    </w:p>
    <w:p w14:paraId="679A3098" w14:textId="77777777" w:rsidR="009B1F5D" w:rsidRDefault="009B1F5D" w:rsidP="00D648AC">
      <w:pPr>
        <w:pStyle w:val="Heading3"/>
      </w:pPr>
      <w:bookmarkStart w:id="9" w:name="a170201"/>
      <w:bookmarkStart w:id="10" w:name="_Toc19108522"/>
      <w:bookmarkEnd w:id="9"/>
      <w:r>
        <w:t>1702.01 Instruction in Self-Advocacy</w:t>
      </w:r>
      <w:bookmarkEnd w:id="10"/>
    </w:p>
    <w:p w14:paraId="1F67DC13" w14:textId="77777777" w:rsidR="00D648AC" w:rsidRDefault="00D648AC" w:rsidP="00D648AC">
      <w:pPr>
        <w:spacing w:after="0"/>
      </w:pPr>
    </w:p>
    <w:p w14:paraId="21472165" w14:textId="77777777" w:rsidR="009B1F5D" w:rsidRDefault="009B1F5D" w:rsidP="00D648AC">
      <w:pPr>
        <w:spacing w:after="0"/>
      </w:pPr>
      <w:r>
        <w:t>Instruction in Self-Advocacy may include, but is not limited to:</w:t>
      </w:r>
    </w:p>
    <w:p w14:paraId="6E729094" w14:textId="77777777" w:rsidR="00D648AC" w:rsidRDefault="00D648AC" w:rsidP="00D648AC">
      <w:pPr>
        <w:spacing w:after="0"/>
      </w:pPr>
    </w:p>
    <w:p w14:paraId="40D8E1EE" w14:textId="76041734" w:rsidR="009B1F5D" w:rsidRDefault="009B1F5D" w:rsidP="00D648AC">
      <w:pPr>
        <w:pStyle w:val="ListParagraph"/>
        <w:numPr>
          <w:ilvl w:val="1"/>
          <w:numId w:val="3"/>
        </w:numPr>
        <w:spacing w:after="0"/>
        <w:ind w:left="720"/>
      </w:pPr>
      <w:r>
        <w:t>Learning about their rights and responsibilities</w:t>
      </w:r>
      <w:r w:rsidR="00D648AC">
        <w:t>.</w:t>
      </w:r>
    </w:p>
    <w:p w14:paraId="3C216923" w14:textId="77777777" w:rsidR="00D648AC" w:rsidRDefault="00D648AC" w:rsidP="00D648AC">
      <w:pPr>
        <w:pStyle w:val="ListParagraph"/>
        <w:spacing w:after="0"/>
      </w:pPr>
    </w:p>
    <w:p w14:paraId="5B6030D0" w14:textId="15FB1AA2" w:rsidR="009B1F5D" w:rsidRDefault="009B1F5D" w:rsidP="00D648AC">
      <w:pPr>
        <w:pStyle w:val="ListParagraph"/>
        <w:numPr>
          <w:ilvl w:val="1"/>
          <w:numId w:val="3"/>
        </w:numPr>
        <w:spacing w:after="0"/>
        <w:ind w:left="720"/>
      </w:pPr>
      <w:r>
        <w:t>Learning how to request accommodations, services or supports</w:t>
      </w:r>
      <w:r w:rsidR="00D648AC">
        <w:t>.</w:t>
      </w:r>
    </w:p>
    <w:p w14:paraId="68CB48CA" w14:textId="77777777" w:rsidR="00D648AC" w:rsidRDefault="00D648AC" w:rsidP="00D648AC">
      <w:pPr>
        <w:pStyle w:val="ListParagraph"/>
        <w:spacing w:after="0"/>
      </w:pPr>
    </w:p>
    <w:p w14:paraId="143D9519" w14:textId="5D396C2D" w:rsidR="009B1F5D" w:rsidRDefault="009B1F5D" w:rsidP="00D648AC">
      <w:pPr>
        <w:pStyle w:val="ListParagraph"/>
        <w:numPr>
          <w:ilvl w:val="1"/>
          <w:numId w:val="3"/>
        </w:numPr>
        <w:spacing w:after="0"/>
        <w:ind w:left="720"/>
      </w:pPr>
      <w:r>
        <w:t>Mentoring with education staff (e.g., principals, nurses, teachers, or office staff)</w:t>
      </w:r>
      <w:r w:rsidR="00D648AC">
        <w:t>.</w:t>
      </w:r>
      <w:r>
        <w:br/>
      </w:r>
    </w:p>
    <w:p w14:paraId="198DAB63" w14:textId="7EF7E471" w:rsidR="009B1F5D" w:rsidRDefault="009B1F5D" w:rsidP="00D648AC">
      <w:pPr>
        <w:pStyle w:val="ListParagraph"/>
        <w:numPr>
          <w:ilvl w:val="1"/>
          <w:numId w:val="3"/>
        </w:numPr>
        <w:spacing w:after="0"/>
        <w:ind w:left="720"/>
      </w:pPr>
      <w:r>
        <w:t>Peer mentoring with individuals employed by or volunteering for employers; boards, associations, or organizations in integrated community settings</w:t>
      </w:r>
      <w:r w:rsidR="00D648AC">
        <w:t>.</w:t>
      </w:r>
    </w:p>
    <w:p w14:paraId="59B46EDC" w14:textId="77777777" w:rsidR="00D648AC" w:rsidRDefault="00D648AC" w:rsidP="00D648AC">
      <w:pPr>
        <w:pStyle w:val="ListParagraph"/>
        <w:spacing w:after="0"/>
      </w:pPr>
    </w:p>
    <w:p w14:paraId="2363FF83" w14:textId="50774E4B" w:rsidR="009B1F5D" w:rsidRDefault="009B1F5D" w:rsidP="00D648AC">
      <w:pPr>
        <w:pStyle w:val="ListParagraph"/>
        <w:numPr>
          <w:ilvl w:val="1"/>
          <w:numId w:val="3"/>
        </w:numPr>
        <w:spacing w:after="0"/>
        <w:ind w:left="720"/>
      </w:pPr>
      <w:r>
        <w:t>Participating in youth leadership activities offered in educational or community settings.</w:t>
      </w:r>
    </w:p>
    <w:p w14:paraId="7A0DC2F6" w14:textId="77777777" w:rsidR="00D648AC" w:rsidRDefault="00D648AC" w:rsidP="00D648AC">
      <w:pPr>
        <w:pStyle w:val="Heading3"/>
      </w:pPr>
      <w:bookmarkStart w:id="11" w:name="a170202"/>
      <w:bookmarkEnd w:id="11"/>
    </w:p>
    <w:p w14:paraId="45D9BA35" w14:textId="0C036359" w:rsidR="009B1F5D" w:rsidRPr="00D648AC" w:rsidRDefault="009B1F5D" w:rsidP="00D648AC">
      <w:pPr>
        <w:pStyle w:val="Heading3"/>
      </w:pPr>
      <w:bookmarkStart w:id="12" w:name="_Toc19108523"/>
      <w:r w:rsidRPr="00D648AC">
        <w:t>1702.02 Workplace Readiness Training</w:t>
      </w:r>
      <w:bookmarkEnd w:id="12"/>
    </w:p>
    <w:p w14:paraId="7CFD5DC9" w14:textId="77777777" w:rsidR="00D648AC" w:rsidRDefault="00D648AC" w:rsidP="00D648AC">
      <w:pPr>
        <w:spacing w:after="0"/>
      </w:pPr>
    </w:p>
    <w:p w14:paraId="4CC967CF" w14:textId="79070779" w:rsidR="009B1F5D" w:rsidRDefault="009B1F5D" w:rsidP="00D648AC">
      <w:pPr>
        <w:spacing w:after="0"/>
      </w:pPr>
      <w:r>
        <w:t xml:space="preserve">Workplace Readiness Training to develop social skills and independent living skills necessary for employment may include, but is not limited to: </w:t>
      </w:r>
    </w:p>
    <w:p w14:paraId="455E8D07" w14:textId="77777777" w:rsidR="00D648AC" w:rsidRDefault="00D648AC" w:rsidP="00D648AC">
      <w:pPr>
        <w:spacing w:after="0"/>
      </w:pPr>
    </w:p>
    <w:p w14:paraId="5076B6A8" w14:textId="0703CB0D" w:rsidR="009B1F5D" w:rsidRDefault="009B1F5D" w:rsidP="00D648AC">
      <w:pPr>
        <w:pStyle w:val="ListParagraph"/>
        <w:numPr>
          <w:ilvl w:val="1"/>
          <w:numId w:val="3"/>
        </w:numPr>
        <w:spacing w:after="0"/>
        <w:ind w:left="720"/>
      </w:pPr>
      <w:r>
        <w:t>Learning communication and interpersonal skills</w:t>
      </w:r>
      <w:r w:rsidR="00D648AC">
        <w:t>.</w:t>
      </w:r>
    </w:p>
    <w:p w14:paraId="57551B56" w14:textId="77777777" w:rsidR="00D648AC" w:rsidRDefault="00D648AC" w:rsidP="00D648AC">
      <w:pPr>
        <w:pStyle w:val="ListParagraph"/>
        <w:spacing w:after="0"/>
      </w:pPr>
    </w:p>
    <w:p w14:paraId="754A1A87" w14:textId="379158E9" w:rsidR="009B1F5D" w:rsidRDefault="009B1F5D" w:rsidP="00D648AC">
      <w:pPr>
        <w:pStyle w:val="ListParagraph"/>
        <w:numPr>
          <w:ilvl w:val="1"/>
          <w:numId w:val="3"/>
        </w:numPr>
        <w:spacing w:after="0"/>
        <w:ind w:left="720"/>
      </w:pPr>
      <w:r>
        <w:t>Financial literacy, including benefits planning services</w:t>
      </w:r>
      <w:r w:rsidR="00D648AC">
        <w:t>.</w:t>
      </w:r>
    </w:p>
    <w:p w14:paraId="77068B41" w14:textId="77777777" w:rsidR="00D648AC" w:rsidRDefault="00D648AC" w:rsidP="00D648AC">
      <w:pPr>
        <w:pStyle w:val="ListParagraph"/>
        <w:spacing w:after="0"/>
      </w:pPr>
    </w:p>
    <w:p w14:paraId="36E8A288" w14:textId="5E0CBC68" w:rsidR="009B1F5D" w:rsidRDefault="009B1F5D" w:rsidP="00D648AC">
      <w:pPr>
        <w:pStyle w:val="ListParagraph"/>
        <w:numPr>
          <w:ilvl w:val="1"/>
          <w:numId w:val="3"/>
        </w:numPr>
        <w:spacing w:after="0"/>
        <w:ind w:left="720"/>
      </w:pPr>
      <w:r>
        <w:t>Orientation and mobility skills to access workplace readiness training or to learn to travel independently</w:t>
      </w:r>
      <w:r w:rsidR="00D648AC">
        <w:t>.</w:t>
      </w:r>
    </w:p>
    <w:p w14:paraId="511934B9" w14:textId="77777777" w:rsidR="00D648AC" w:rsidRDefault="00D648AC" w:rsidP="00D648AC">
      <w:pPr>
        <w:pStyle w:val="ListParagraph"/>
        <w:spacing w:after="0"/>
      </w:pPr>
    </w:p>
    <w:p w14:paraId="15B00E0E" w14:textId="29A4D2DA" w:rsidR="009B1F5D" w:rsidRDefault="009B1F5D" w:rsidP="00D648AC">
      <w:pPr>
        <w:pStyle w:val="ListParagraph"/>
        <w:numPr>
          <w:ilvl w:val="1"/>
          <w:numId w:val="3"/>
        </w:numPr>
        <w:spacing w:after="0"/>
        <w:ind w:left="720"/>
      </w:pPr>
      <w:r>
        <w:t>Job-seeking skills</w:t>
      </w:r>
      <w:r w:rsidR="00D648AC">
        <w:t>.</w:t>
      </w:r>
    </w:p>
    <w:p w14:paraId="4F087DA4" w14:textId="77777777" w:rsidR="00D648AC" w:rsidRDefault="00D648AC" w:rsidP="00D648AC">
      <w:pPr>
        <w:pStyle w:val="ListParagraph"/>
        <w:spacing w:after="0"/>
      </w:pPr>
    </w:p>
    <w:p w14:paraId="7D27A7B1" w14:textId="3339AC58" w:rsidR="00D648AC" w:rsidRDefault="009B1F5D" w:rsidP="00D648AC">
      <w:pPr>
        <w:pStyle w:val="ListParagraph"/>
        <w:numPr>
          <w:ilvl w:val="1"/>
          <w:numId w:val="3"/>
        </w:numPr>
        <w:spacing w:after="0"/>
        <w:ind w:left="720"/>
      </w:pPr>
      <w:r>
        <w:t>Understanding employer expectations for punctuality and performance, as well as other “soft” skills necessary for employment</w:t>
      </w:r>
      <w:r w:rsidR="00D648AC">
        <w:t>.</w:t>
      </w:r>
    </w:p>
    <w:p w14:paraId="7987F6B6" w14:textId="77777777" w:rsidR="00D648AC" w:rsidRDefault="00D648AC" w:rsidP="00D648AC">
      <w:pPr>
        <w:pStyle w:val="ListParagraph"/>
        <w:spacing w:after="0"/>
      </w:pPr>
    </w:p>
    <w:p w14:paraId="65A040E5" w14:textId="75592FB4" w:rsidR="009B1F5D" w:rsidRDefault="009B1F5D" w:rsidP="00D648AC">
      <w:pPr>
        <w:pStyle w:val="ListParagraph"/>
        <w:numPr>
          <w:ilvl w:val="1"/>
          <w:numId w:val="3"/>
        </w:numPr>
        <w:spacing w:after="0"/>
        <w:ind w:left="720"/>
      </w:pPr>
      <w:r>
        <w:t>On-site workplace readiness training during a work-based learning experience.</w:t>
      </w:r>
    </w:p>
    <w:p w14:paraId="70109ABA" w14:textId="77777777" w:rsidR="00D648AC" w:rsidRDefault="00D648AC" w:rsidP="00D648AC">
      <w:pPr>
        <w:pStyle w:val="Heading3"/>
      </w:pPr>
      <w:bookmarkStart w:id="13" w:name="a170203"/>
      <w:bookmarkEnd w:id="13"/>
    </w:p>
    <w:p w14:paraId="2D90921B" w14:textId="5277CF02" w:rsidR="009B1F5D" w:rsidRDefault="009B1F5D" w:rsidP="00D648AC">
      <w:pPr>
        <w:pStyle w:val="Heading3"/>
      </w:pPr>
      <w:bookmarkStart w:id="14" w:name="_Toc19108524"/>
      <w:r>
        <w:t>1702.03 Job Exploration Counseling</w:t>
      </w:r>
      <w:bookmarkEnd w:id="14"/>
    </w:p>
    <w:p w14:paraId="480CC017" w14:textId="77777777" w:rsidR="00D648AC" w:rsidRDefault="00D648AC" w:rsidP="00D648AC">
      <w:pPr>
        <w:spacing w:after="0"/>
      </w:pPr>
    </w:p>
    <w:p w14:paraId="1E41EDDA" w14:textId="594D61A8" w:rsidR="009B1F5D" w:rsidRDefault="009B1F5D" w:rsidP="00D648AC">
      <w:pPr>
        <w:spacing w:after="0"/>
      </w:pPr>
      <w:r>
        <w:t>Job Exploration Counseling may include, but is not limited to:</w:t>
      </w:r>
    </w:p>
    <w:p w14:paraId="2C320933" w14:textId="77777777" w:rsidR="00D648AC" w:rsidRDefault="00D648AC" w:rsidP="00D648AC">
      <w:pPr>
        <w:spacing w:after="0"/>
      </w:pPr>
    </w:p>
    <w:p w14:paraId="0A72CD50" w14:textId="469579D2" w:rsidR="009B1F5D" w:rsidRDefault="009B1F5D" w:rsidP="00D648AC">
      <w:pPr>
        <w:pStyle w:val="ListParagraph"/>
        <w:numPr>
          <w:ilvl w:val="1"/>
          <w:numId w:val="3"/>
        </w:numPr>
        <w:spacing w:after="0"/>
        <w:ind w:left="720"/>
      </w:pPr>
      <w:r>
        <w:t>Review of information regarding in-demand industry sectors and occupations, as well as nontraditional employment</w:t>
      </w:r>
      <w:r w:rsidR="00D648AC">
        <w:t>.</w:t>
      </w:r>
    </w:p>
    <w:p w14:paraId="1697B103" w14:textId="77777777" w:rsidR="00D648AC" w:rsidRDefault="00D648AC" w:rsidP="00D648AC">
      <w:pPr>
        <w:pStyle w:val="ListParagraph"/>
        <w:spacing w:after="0"/>
      </w:pPr>
    </w:p>
    <w:p w14:paraId="713B3C91" w14:textId="6F6F3C90" w:rsidR="009B1F5D" w:rsidRDefault="009B1F5D" w:rsidP="00D648AC">
      <w:pPr>
        <w:pStyle w:val="ListParagraph"/>
        <w:numPr>
          <w:ilvl w:val="1"/>
          <w:numId w:val="3"/>
        </w:numPr>
        <w:spacing w:after="0"/>
        <w:ind w:left="720"/>
      </w:pPr>
      <w:r>
        <w:t>Administration of vocational interest inventories and provision of Local labor market information that applies to the student’s particular interests</w:t>
      </w:r>
      <w:r w:rsidR="00D648AC">
        <w:t>.</w:t>
      </w:r>
    </w:p>
    <w:p w14:paraId="546E7E81" w14:textId="77777777" w:rsidR="00D648AC" w:rsidRDefault="00D648AC" w:rsidP="00D648AC">
      <w:pPr>
        <w:pStyle w:val="ListParagraph"/>
        <w:spacing w:after="0"/>
      </w:pPr>
    </w:p>
    <w:p w14:paraId="2DF80078" w14:textId="30CEF1A9" w:rsidR="00D648AC" w:rsidRDefault="009B1F5D" w:rsidP="00743523">
      <w:pPr>
        <w:pStyle w:val="ListParagraph"/>
        <w:numPr>
          <w:ilvl w:val="1"/>
          <w:numId w:val="3"/>
        </w:numPr>
        <w:spacing w:after="0"/>
        <w:ind w:left="720"/>
      </w:pPr>
      <w:r>
        <w:t>Identification of career pathways of interest to the students.</w:t>
      </w:r>
    </w:p>
    <w:p w14:paraId="714B64F1" w14:textId="0EDCE8B6" w:rsidR="009B1F5D" w:rsidRDefault="00895CC1" w:rsidP="00743523">
      <w:pPr>
        <w:pStyle w:val="Heading3"/>
        <w:keepNext/>
        <w:spacing w:before="220"/>
      </w:pPr>
      <w:bookmarkStart w:id="15" w:name="a170204"/>
      <w:bookmarkStart w:id="16" w:name="_Toc19108525"/>
      <w:bookmarkEnd w:id="15"/>
      <w:r>
        <w:lastRenderedPageBreak/>
        <w:t>1702</w:t>
      </w:r>
      <w:r w:rsidR="009B1F5D">
        <w:t>.04 Counseling on Opportunities for Enrollment in Comprehensive Transition or Post-Secondary Education Program</w:t>
      </w:r>
      <w:bookmarkEnd w:id="16"/>
    </w:p>
    <w:p w14:paraId="5A67D919" w14:textId="77777777" w:rsidR="00D648AC" w:rsidRDefault="00D648AC" w:rsidP="00743523">
      <w:pPr>
        <w:keepNext/>
        <w:spacing w:after="0"/>
      </w:pPr>
    </w:p>
    <w:p w14:paraId="746C6B62" w14:textId="5ACEC041" w:rsidR="009B1F5D" w:rsidRDefault="009B1F5D" w:rsidP="00743523">
      <w:pPr>
        <w:spacing w:after="0"/>
      </w:pPr>
      <w:r>
        <w:t>Counseling on Opportunities for Enrollment in Comprehensive Transition or Post-Secondary Education Program may include, but is not limited to:</w:t>
      </w:r>
    </w:p>
    <w:p w14:paraId="5D0077E3" w14:textId="77777777" w:rsidR="00D648AC" w:rsidRDefault="00D648AC" w:rsidP="00D648AC">
      <w:pPr>
        <w:spacing w:after="0"/>
      </w:pPr>
    </w:p>
    <w:p w14:paraId="592D6E16" w14:textId="758D7046" w:rsidR="009B1F5D" w:rsidRDefault="009B1F5D" w:rsidP="00D648AC">
      <w:pPr>
        <w:pStyle w:val="ListParagraph"/>
        <w:numPr>
          <w:ilvl w:val="1"/>
          <w:numId w:val="3"/>
        </w:numPr>
        <w:spacing w:after="0"/>
        <w:ind w:left="720"/>
      </w:pPr>
      <w:r>
        <w:t>Exploring the types of academic and occupational training needed to succeed in the workplace</w:t>
      </w:r>
      <w:r w:rsidR="00D648AC">
        <w:t>.</w:t>
      </w:r>
    </w:p>
    <w:p w14:paraId="197340E6" w14:textId="77777777" w:rsidR="00D648AC" w:rsidRDefault="00D648AC" w:rsidP="00D648AC">
      <w:pPr>
        <w:pStyle w:val="ListParagraph"/>
        <w:spacing w:after="0"/>
      </w:pPr>
    </w:p>
    <w:p w14:paraId="3EE52400" w14:textId="341B7281" w:rsidR="009B1F5D" w:rsidRDefault="009B1F5D" w:rsidP="00D648AC">
      <w:pPr>
        <w:pStyle w:val="ListParagraph"/>
        <w:numPr>
          <w:ilvl w:val="1"/>
          <w:numId w:val="3"/>
        </w:numPr>
        <w:spacing w:after="0"/>
        <w:ind w:left="720"/>
      </w:pPr>
      <w:r>
        <w:t>Postsecondary opportunities associated with career fields or pathways</w:t>
      </w:r>
      <w:r w:rsidR="00D648AC">
        <w:t>.</w:t>
      </w:r>
    </w:p>
    <w:p w14:paraId="4E191A86" w14:textId="77777777" w:rsidR="00D648AC" w:rsidRDefault="00D648AC" w:rsidP="00D648AC">
      <w:pPr>
        <w:pStyle w:val="ListParagraph"/>
        <w:spacing w:after="0"/>
      </w:pPr>
    </w:p>
    <w:p w14:paraId="77A2DDF3" w14:textId="73D3CC0E" w:rsidR="009B1F5D" w:rsidRDefault="009B1F5D" w:rsidP="00D648AC">
      <w:pPr>
        <w:pStyle w:val="ListParagraph"/>
        <w:numPr>
          <w:ilvl w:val="1"/>
          <w:numId w:val="3"/>
        </w:numPr>
        <w:spacing w:after="0"/>
        <w:ind w:left="720"/>
      </w:pPr>
      <w:r>
        <w:t>Self-advocacy skills for the purpose of identifying accommodations and services in an educational program as well as providing resources that may be used to support individual student success in education and training (i.e., disability support services)</w:t>
      </w:r>
      <w:r w:rsidR="00D648AC">
        <w:t>.</w:t>
      </w:r>
    </w:p>
    <w:p w14:paraId="1C0480F4" w14:textId="77777777" w:rsidR="00D648AC" w:rsidRDefault="00D648AC" w:rsidP="00D648AC">
      <w:pPr>
        <w:pStyle w:val="ListParagraph"/>
        <w:spacing w:after="0"/>
      </w:pPr>
    </w:p>
    <w:p w14:paraId="3E29BE32" w14:textId="306D86D7" w:rsidR="009B1F5D" w:rsidRDefault="009B1F5D" w:rsidP="00D648AC">
      <w:pPr>
        <w:pStyle w:val="ListParagraph"/>
        <w:numPr>
          <w:ilvl w:val="1"/>
          <w:numId w:val="3"/>
        </w:numPr>
        <w:spacing w:after="0"/>
        <w:ind w:left="720"/>
      </w:pPr>
      <w:r>
        <w:t>Advising students and parents or representatives on academic curricula and course offerings</w:t>
      </w:r>
      <w:r w:rsidR="00D648AC">
        <w:t>.</w:t>
      </w:r>
    </w:p>
    <w:p w14:paraId="1F4836DD" w14:textId="77777777" w:rsidR="00D648AC" w:rsidRDefault="00D648AC" w:rsidP="00D648AC">
      <w:pPr>
        <w:pStyle w:val="ListParagraph"/>
        <w:spacing w:after="0"/>
      </w:pPr>
    </w:p>
    <w:p w14:paraId="627254DC" w14:textId="0578AA4F" w:rsidR="009B1F5D" w:rsidRDefault="009B1F5D" w:rsidP="00D648AC">
      <w:pPr>
        <w:pStyle w:val="ListParagraph"/>
        <w:numPr>
          <w:ilvl w:val="1"/>
          <w:numId w:val="3"/>
        </w:numPr>
        <w:spacing w:after="0"/>
        <w:ind w:left="720"/>
      </w:pPr>
      <w:r>
        <w:t>Providing information about college application and admissions processes</w:t>
      </w:r>
      <w:r w:rsidR="00D648AC">
        <w:t>.</w:t>
      </w:r>
    </w:p>
    <w:p w14:paraId="74DAB5AD" w14:textId="77777777" w:rsidR="00D648AC" w:rsidRDefault="00D648AC" w:rsidP="00D648AC">
      <w:pPr>
        <w:pStyle w:val="ListParagraph"/>
        <w:spacing w:after="0"/>
      </w:pPr>
    </w:p>
    <w:p w14:paraId="7E6075C6" w14:textId="4BCEF9EF" w:rsidR="009B1F5D" w:rsidRDefault="009B1F5D" w:rsidP="00D648AC">
      <w:pPr>
        <w:pStyle w:val="ListParagraph"/>
        <w:numPr>
          <w:ilvl w:val="1"/>
          <w:numId w:val="3"/>
        </w:numPr>
        <w:spacing w:after="0"/>
        <w:ind w:left="720"/>
      </w:pPr>
      <w:r>
        <w:t>Completing the Free Application for Federal Student Aid (FAFSA).</w:t>
      </w:r>
    </w:p>
    <w:p w14:paraId="012A40F1" w14:textId="77777777" w:rsidR="00D648AC" w:rsidRDefault="00D648AC" w:rsidP="00D648AC">
      <w:pPr>
        <w:pStyle w:val="Heading3"/>
      </w:pPr>
      <w:bookmarkStart w:id="17" w:name="a170205"/>
      <w:bookmarkEnd w:id="17"/>
    </w:p>
    <w:p w14:paraId="3E587891" w14:textId="63837610" w:rsidR="009B1F5D" w:rsidRDefault="00895CC1" w:rsidP="00D648AC">
      <w:pPr>
        <w:pStyle w:val="Heading3"/>
      </w:pPr>
      <w:bookmarkStart w:id="18" w:name="_Toc19108526"/>
      <w:r>
        <w:t>1702</w:t>
      </w:r>
      <w:r w:rsidR="009B1F5D">
        <w:t>.05 Work-Based Learning Experiences</w:t>
      </w:r>
      <w:bookmarkEnd w:id="18"/>
    </w:p>
    <w:p w14:paraId="4D09FF6B" w14:textId="77777777" w:rsidR="00D648AC" w:rsidRDefault="00D648AC" w:rsidP="00D648AC">
      <w:pPr>
        <w:spacing w:after="0"/>
      </w:pPr>
    </w:p>
    <w:p w14:paraId="631637C1" w14:textId="716C9F7F" w:rsidR="009B1F5D" w:rsidRDefault="009B1F5D" w:rsidP="00D648AC">
      <w:pPr>
        <w:spacing w:after="0"/>
      </w:pPr>
      <w:r>
        <w:t>Work-Based Learning Experiences may include opportunities that are available in school, after school, or outside the traditional school setting; however, they must be provided in an integrated setting in the community to the maximum extent possible.</w:t>
      </w:r>
      <w:r w:rsidR="00743523">
        <w:t xml:space="preserve"> </w:t>
      </w:r>
      <w:r>
        <w:t>DORS and community partners should seek every opportunity to provide work-based learning experiences in integrated settings before providing these services in non-integrated settings.</w:t>
      </w:r>
      <w:r w:rsidR="00743523">
        <w:t xml:space="preserve"> </w:t>
      </w:r>
      <w:r>
        <w:t>Services may include, but are not limited to:</w:t>
      </w:r>
    </w:p>
    <w:p w14:paraId="1398899C" w14:textId="77777777" w:rsidR="00D648AC" w:rsidRDefault="00D648AC" w:rsidP="00D648AC">
      <w:pPr>
        <w:spacing w:after="0"/>
      </w:pPr>
    </w:p>
    <w:p w14:paraId="337ED17F" w14:textId="70AD607E" w:rsidR="009B1F5D" w:rsidRDefault="009B1F5D" w:rsidP="00D648AC">
      <w:pPr>
        <w:pStyle w:val="ListParagraph"/>
        <w:numPr>
          <w:ilvl w:val="1"/>
          <w:numId w:val="3"/>
        </w:numPr>
        <w:spacing w:after="0"/>
        <w:ind w:left="720"/>
      </w:pPr>
      <w:r>
        <w:t>Coordinating a school-based program of job training and informational i</w:t>
      </w:r>
      <w:r w:rsidR="00D648AC">
        <w:t>nterviews to research employers.</w:t>
      </w:r>
    </w:p>
    <w:p w14:paraId="465BB517" w14:textId="77777777" w:rsidR="00D648AC" w:rsidRDefault="00D648AC" w:rsidP="00D648AC">
      <w:pPr>
        <w:pStyle w:val="ListParagraph"/>
        <w:spacing w:after="0"/>
      </w:pPr>
    </w:p>
    <w:p w14:paraId="6E70CBD8" w14:textId="564F26D7" w:rsidR="009B1F5D" w:rsidRDefault="009B1F5D" w:rsidP="00D648AC">
      <w:pPr>
        <w:pStyle w:val="ListParagraph"/>
        <w:numPr>
          <w:ilvl w:val="1"/>
          <w:numId w:val="3"/>
        </w:numPr>
        <w:spacing w:after="0"/>
        <w:ind w:left="720"/>
      </w:pPr>
      <w:r>
        <w:t>Work-site tours to learn about necessary job skills</w:t>
      </w:r>
      <w:r w:rsidR="00D648AC">
        <w:t>.</w:t>
      </w:r>
    </w:p>
    <w:p w14:paraId="473EFBD0" w14:textId="77777777" w:rsidR="00D648AC" w:rsidRDefault="00D648AC" w:rsidP="00D648AC">
      <w:pPr>
        <w:pStyle w:val="ListParagraph"/>
        <w:spacing w:after="0"/>
      </w:pPr>
    </w:p>
    <w:p w14:paraId="7848FEF3" w14:textId="37C4DE89" w:rsidR="009B1F5D" w:rsidRDefault="009B1F5D" w:rsidP="00D648AC">
      <w:pPr>
        <w:pStyle w:val="ListParagraph"/>
        <w:numPr>
          <w:ilvl w:val="1"/>
          <w:numId w:val="3"/>
        </w:numPr>
        <w:spacing w:after="0"/>
        <w:ind w:left="720"/>
      </w:pPr>
      <w:r>
        <w:t>Job shadowing</w:t>
      </w:r>
      <w:r w:rsidR="00D648AC">
        <w:t>.</w:t>
      </w:r>
    </w:p>
    <w:p w14:paraId="3591DC80" w14:textId="77777777" w:rsidR="00D648AC" w:rsidRDefault="00D648AC" w:rsidP="00D648AC">
      <w:pPr>
        <w:pStyle w:val="ListParagraph"/>
        <w:spacing w:after="0"/>
      </w:pPr>
    </w:p>
    <w:p w14:paraId="1C5BC9DF" w14:textId="2DBB4200" w:rsidR="009B1F5D" w:rsidRDefault="009B1F5D" w:rsidP="00D648AC">
      <w:pPr>
        <w:pStyle w:val="ListParagraph"/>
        <w:numPr>
          <w:ilvl w:val="1"/>
          <w:numId w:val="3"/>
        </w:numPr>
        <w:spacing w:after="0"/>
        <w:ind w:left="720"/>
      </w:pPr>
      <w:r>
        <w:t>Mentoring opportunities</w:t>
      </w:r>
      <w:r w:rsidR="00D648AC">
        <w:t>.</w:t>
      </w:r>
    </w:p>
    <w:p w14:paraId="169A04EA" w14:textId="77777777" w:rsidR="00D648AC" w:rsidRDefault="00D648AC" w:rsidP="00D648AC">
      <w:pPr>
        <w:pStyle w:val="ListParagraph"/>
        <w:spacing w:after="0"/>
      </w:pPr>
    </w:p>
    <w:p w14:paraId="54D2612A" w14:textId="3BF9FA59" w:rsidR="009B1F5D" w:rsidRDefault="009B1F5D" w:rsidP="00D648AC">
      <w:pPr>
        <w:pStyle w:val="ListParagraph"/>
        <w:numPr>
          <w:ilvl w:val="1"/>
          <w:numId w:val="3"/>
        </w:numPr>
        <w:spacing w:after="0"/>
        <w:ind w:left="720"/>
      </w:pPr>
      <w:r>
        <w:t>On-site work-based experiences, paid or unpaid (i.e., Internships, volunteering, practicums, or service learning opportunities)</w:t>
      </w:r>
      <w:r w:rsidR="00D648AC">
        <w:t>.</w:t>
      </w:r>
    </w:p>
    <w:p w14:paraId="03DFCE4C" w14:textId="77777777" w:rsidR="00D648AC" w:rsidRDefault="00D648AC" w:rsidP="00D648AC">
      <w:pPr>
        <w:pStyle w:val="ListParagraph"/>
        <w:spacing w:after="0"/>
      </w:pPr>
    </w:p>
    <w:p w14:paraId="5AABE2CB" w14:textId="6ACAF72E" w:rsidR="009B1F5D" w:rsidRPr="00D648AC" w:rsidRDefault="009B1F5D" w:rsidP="00D648AC">
      <w:pPr>
        <w:pStyle w:val="Heading2"/>
      </w:pPr>
      <w:bookmarkStart w:id="19" w:name="a1703"/>
      <w:bookmarkStart w:id="20" w:name="_Toc19108527"/>
      <w:bookmarkEnd w:id="19"/>
      <w:r w:rsidRPr="00D648AC">
        <w:t xml:space="preserve">1703 </w:t>
      </w:r>
      <w:r w:rsidR="00895CC1" w:rsidRPr="00D648AC">
        <w:t>Providing Auxiliary Aids and Other Accommodations and Services Under Pre-ETS</w:t>
      </w:r>
      <w:bookmarkEnd w:id="20"/>
    </w:p>
    <w:p w14:paraId="0005FFC7" w14:textId="77777777" w:rsidR="00D648AC" w:rsidRDefault="00D648AC" w:rsidP="00D648AC">
      <w:pPr>
        <w:spacing w:after="0"/>
      </w:pPr>
    </w:p>
    <w:p w14:paraId="0F2873BE" w14:textId="6746F548" w:rsidR="009B1F5D" w:rsidRDefault="009B1F5D" w:rsidP="00D648AC">
      <w:pPr>
        <w:spacing w:after="0"/>
      </w:pPr>
      <w:r>
        <w:t xml:space="preserve">DORS will ensure that no qualified student with a disability is denied the benefit of </w:t>
      </w:r>
      <w:r w:rsidR="00D648AC" w:rsidRPr="00895CC1">
        <w:t>Pre-</w:t>
      </w:r>
      <w:r w:rsidR="00D648AC">
        <w:t xml:space="preserve">ETS </w:t>
      </w:r>
      <w:r>
        <w:t xml:space="preserve">on the basis of the individual’s disability. Therefore, if a student with a disability requires reasonable accommodations/auxiliary aid or service to access or participate in any of the required </w:t>
      </w:r>
      <w:r w:rsidR="00D648AC" w:rsidRPr="00895CC1">
        <w:t>Pre-</w:t>
      </w:r>
      <w:r w:rsidR="00D648AC">
        <w:t>ETS</w:t>
      </w:r>
      <w:r>
        <w:t xml:space="preserve">, DORS may pay for such costs when no other public entity is required to provide such aid or service. </w:t>
      </w:r>
    </w:p>
    <w:p w14:paraId="283CC1D8" w14:textId="77777777" w:rsidR="00D648AC" w:rsidRDefault="00D648AC" w:rsidP="00D648AC">
      <w:pPr>
        <w:spacing w:after="0"/>
      </w:pPr>
    </w:p>
    <w:p w14:paraId="1DED0C61" w14:textId="437FC32B" w:rsidR="009B1F5D" w:rsidRDefault="009B1F5D" w:rsidP="00D648AC">
      <w:pPr>
        <w:pStyle w:val="Heading3"/>
      </w:pPr>
      <w:bookmarkStart w:id="21" w:name="_1703.01_Reasonable_Accommodation/Au"/>
      <w:bookmarkStart w:id="22" w:name="a170301"/>
      <w:bookmarkStart w:id="23" w:name="_Toc19108528"/>
      <w:bookmarkEnd w:id="21"/>
      <w:bookmarkEnd w:id="22"/>
      <w:r>
        <w:t>1703.01 Reasonable Accommodation/Auxiliary Aids and Services</w:t>
      </w:r>
      <w:bookmarkEnd w:id="23"/>
    </w:p>
    <w:p w14:paraId="3DE54A85" w14:textId="77777777" w:rsidR="00D648AC" w:rsidRDefault="00D648AC" w:rsidP="00D648AC">
      <w:pPr>
        <w:spacing w:after="0"/>
      </w:pPr>
    </w:p>
    <w:p w14:paraId="667B0AF8" w14:textId="667E509D" w:rsidR="009B1F5D" w:rsidRDefault="009B1F5D" w:rsidP="00D648AC">
      <w:pPr>
        <w:pStyle w:val="ListParagraph"/>
        <w:numPr>
          <w:ilvl w:val="1"/>
          <w:numId w:val="4"/>
        </w:numPr>
        <w:spacing w:after="0"/>
        <w:ind w:left="720"/>
      </w:pPr>
      <w:r>
        <w:t>Accommodations, aids and services for deaf and hard-of-hearing students, including:</w:t>
      </w:r>
      <w:r w:rsidR="00D648AC">
        <w:br/>
      </w:r>
    </w:p>
    <w:p w14:paraId="1960CB53" w14:textId="447F9411" w:rsidR="009B1F5D" w:rsidRDefault="009B1F5D" w:rsidP="00D648AC">
      <w:pPr>
        <w:pStyle w:val="ListParagraph"/>
        <w:numPr>
          <w:ilvl w:val="1"/>
          <w:numId w:val="3"/>
        </w:numPr>
        <w:spacing w:after="0"/>
        <w:ind w:left="1080"/>
      </w:pPr>
      <w:r>
        <w:t>Qualified interpreters on-site or through video remote interpreting (VRI) services</w:t>
      </w:r>
    </w:p>
    <w:p w14:paraId="3164F2F7" w14:textId="474955FC" w:rsidR="009B1F5D" w:rsidRDefault="009B1F5D" w:rsidP="00D648AC">
      <w:pPr>
        <w:pStyle w:val="ListParagraph"/>
        <w:numPr>
          <w:ilvl w:val="1"/>
          <w:numId w:val="3"/>
        </w:numPr>
        <w:spacing w:after="0"/>
        <w:ind w:left="1080"/>
      </w:pPr>
      <w:r>
        <w:lastRenderedPageBreak/>
        <w:t>Note takers</w:t>
      </w:r>
    </w:p>
    <w:p w14:paraId="08C9AFF9" w14:textId="135C2528" w:rsidR="009B1F5D" w:rsidRDefault="009B1F5D" w:rsidP="00D648AC">
      <w:pPr>
        <w:pStyle w:val="ListParagraph"/>
        <w:numPr>
          <w:ilvl w:val="1"/>
          <w:numId w:val="3"/>
        </w:numPr>
        <w:spacing w:after="0"/>
        <w:ind w:left="1080"/>
      </w:pPr>
      <w:r>
        <w:t>Real-time computer-aided transcription services</w:t>
      </w:r>
    </w:p>
    <w:p w14:paraId="3C708673" w14:textId="64D1EA42" w:rsidR="009B1F5D" w:rsidRDefault="009B1F5D" w:rsidP="00D648AC">
      <w:pPr>
        <w:pStyle w:val="ListParagraph"/>
        <w:numPr>
          <w:ilvl w:val="1"/>
          <w:numId w:val="3"/>
        </w:numPr>
        <w:spacing w:after="0"/>
        <w:ind w:left="1080"/>
      </w:pPr>
      <w:r>
        <w:t>Written materials</w:t>
      </w:r>
    </w:p>
    <w:p w14:paraId="43E2BCF3" w14:textId="06C644C1" w:rsidR="009B1F5D" w:rsidRDefault="009B1F5D" w:rsidP="00D648AC">
      <w:pPr>
        <w:pStyle w:val="ListParagraph"/>
        <w:numPr>
          <w:ilvl w:val="1"/>
          <w:numId w:val="3"/>
        </w:numPr>
        <w:spacing w:after="0"/>
        <w:ind w:left="1080"/>
      </w:pPr>
      <w:r>
        <w:t>Exchange of written notes</w:t>
      </w:r>
    </w:p>
    <w:p w14:paraId="6C778194" w14:textId="7109CCC4" w:rsidR="009B1F5D" w:rsidRDefault="009B1F5D" w:rsidP="00D648AC">
      <w:pPr>
        <w:pStyle w:val="ListParagraph"/>
        <w:numPr>
          <w:ilvl w:val="1"/>
          <w:numId w:val="3"/>
        </w:numPr>
        <w:spacing w:after="0"/>
        <w:ind w:left="1080"/>
      </w:pPr>
      <w:r>
        <w:t>Telephone handset amplifiers</w:t>
      </w:r>
    </w:p>
    <w:p w14:paraId="3FB2F9A9" w14:textId="130DD44A" w:rsidR="009B1F5D" w:rsidRDefault="009B1F5D" w:rsidP="00D648AC">
      <w:pPr>
        <w:pStyle w:val="ListParagraph"/>
        <w:numPr>
          <w:ilvl w:val="1"/>
          <w:numId w:val="3"/>
        </w:numPr>
        <w:spacing w:after="0"/>
        <w:ind w:left="1080"/>
      </w:pPr>
      <w:r>
        <w:t>Assistive listening devices</w:t>
      </w:r>
    </w:p>
    <w:p w14:paraId="50209BA4" w14:textId="18CFA9D0" w:rsidR="009B1F5D" w:rsidRDefault="009B1F5D" w:rsidP="00D648AC">
      <w:pPr>
        <w:pStyle w:val="ListParagraph"/>
        <w:numPr>
          <w:ilvl w:val="1"/>
          <w:numId w:val="3"/>
        </w:numPr>
        <w:spacing w:after="0"/>
        <w:ind w:left="1080"/>
      </w:pPr>
      <w:r>
        <w:t>Assistive listening systems</w:t>
      </w:r>
    </w:p>
    <w:p w14:paraId="0DFFB4DA" w14:textId="78F98B86" w:rsidR="009B1F5D" w:rsidRDefault="009B1F5D" w:rsidP="00D648AC">
      <w:pPr>
        <w:pStyle w:val="ListParagraph"/>
        <w:numPr>
          <w:ilvl w:val="1"/>
          <w:numId w:val="3"/>
        </w:numPr>
        <w:spacing w:after="0"/>
        <w:ind w:left="1080"/>
      </w:pPr>
      <w:r>
        <w:t>Telephones compatible with hearing aids</w:t>
      </w:r>
    </w:p>
    <w:p w14:paraId="25C9D39B" w14:textId="0770FEEB" w:rsidR="009B1F5D" w:rsidRDefault="009B1F5D" w:rsidP="00D648AC">
      <w:pPr>
        <w:pStyle w:val="ListParagraph"/>
        <w:numPr>
          <w:ilvl w:val="1"/>
          <w:numId w:val="3"/>
        </w:numPr>
        <w:spacing w:after="0"/>
        <w:ind w:left="1080"/>
      </w:pPr>
      <w:r>
        <w:t>Closed caption decoders</w:t>
      </w:r>
    </w:p>
    <w:p w14:paraId="4AC7B4EE" w14:textId="448C2719" w:rsidR="009B1F5D" w:rsidRDefault="009B1F5D" w:rsidP="00D648AC">
      <w:pPr>
        <w:pStyle w:val="ListParagraph"/>
        <w:numPr>
          <w:ilvl w:val="1"/>
          <w:numId w:val="3"/>
        </w:numPr>
        <w:spacing w:after="0"/>
        <w:ind w:left="1080"/>
      </w:pPr>
      <w:r>
        <w:t>Open and closed captioning, including real-time captioning</w:t>
      </w:r>
    </w:p>
    <w:p w14:paraId="6A74DD35" w14:textId="14A06BB4" w:rsidR="009B1F5D" w:rsidRDefault="009B1F5D" w:rsidP="00D648AC">
      <w:pPr>
        <w:pStyle w:val="ListParagraph"/>
        <w:numPr>
          <w:ilvl w:val="1"/>
          <w:numId w:val="3"/>
        </w:numPr>
        <w:spacing w:after="0"/>
        <w:ind w:left="1080"/>
      </w:pPr>
      <w:r>
        <w:t>Voice, text, and video-based telecommunications products and systems, including text telephones (TTYs, videophones, and captioned telephones, or equally effective telecommunications devices</w:t>
      </w:r>
      <w:r w:rsidR="00743523">
        <w:t>)</w:t>
      </w:r>
    </w:p>
    <w:p w14:paraId="205736C9" w14:textId="07DE92AE" w:rsidR="009B1F5D" w:rsidRDefault="009B1F5D" w:rsidP="00D648AC">
      <w:pPr>
        <w:pStyle w:val="ListParagraph"/>
        <w:numPr>
          <w:ilvl w:val="1"/>
          <w:numId w:val="3"/>
        </w:numPr>
        <w:spacing w:after="0"/>
        <w:ind w:left="1080"/>
      </w:pPr>
      <w:r>
        <w:t>Videotext displays</w:t>
      </w:r>
    </w:p>
    <w:p w14:paraId="4CDD9283" w14:textId="1B163CF8" w:rsidR="009B1F5D" w:rsidRDefault="009B1F5D" w:rsidP="00D648AC">
      <w:pPr>
        <w:pStyle w:val="ListParagraph"/>
        <w:numPr>
          <w:ilvl w:val="1"/>
          <w:numId w:val="3"/>
        </w:numPr>
        <w:spacing w:after="0"/>
        <w:ind w:left="1080"/>
      </w:pPr>
      <w:r>
        <w:t>Accessible electronic and information technology</w:t>
      </w:r>
    </w:p>
    <w:p w14:paraId="26606DF4" w14:textId="1C761609" w:rsidR="009B1F5D" w:rsidRDefault="009B1F5D" w:rsidP="00D648AC">
      <w:pPr>
        <w:pStyle w:val="ListParagraph"/>
        <w:numPr>
          <w:ilvl w:val="1"/>
          <w:numId w:val="3"/>
        </w:numPr>
        <w:spacing w:after="0"/>
        <w:ind w:left="1080"/>
      </w:pPr>
      <w:r>
        <w:t>Other effective methods of making aurally delivered information available to individuals who are deaf or hard of hearing</w:t>
      </w:r>
    </w:p>
    <w:p w14:paraId="16E776B9" w14:textId="77777777" w:rsidR="00D648AC" w:rsidRDefault="00D648AC" w:rsidP="00D648AC">
      <w:pPr>
        <w:pStyle w:val="ListParagraph"/>
        <w:spacing w:after="0"/>
        <w:ind w:left="1080"/>
      </w:pPr>
    </w:p>
    <w:p w14:paraId="6C260101" w14:textId="70EE8BC3" w:rsidR="00AD588F" w:rsidRDefault="009B1F5D" w:rsidP="00D648AC">
      <w:pPr>
        <w:pStyle w:val="ListParagraph"/>
        <w:numPr>
          <w:ilvl w:val="1"/>
          <w:numId w:val="4"/>
        </w:numPr>
        <w:spacing w:after="0"/>
        <w:ind w:left="720"/>
      </w:pPr>
      <w:r>
        <w:t>Accommodations, aids and services for blind, visually impaired and deaf-blind students, including:</w:t>
      </w:r>
    </w:p>
    <w:p w14:paraId="48C248F6" w14:textId="77777777" w:rsidR="00D648AC" w:rsidRDefault="00D648AC" w:rsidP="00D648AC">
      <w:pPr>
        <w:pStyle w:val="ListParagraph"/>
        <w:spacing w:after="0"/>
      </w:pPr>
    </w:p>
    <w:p w14:paraId="720110C6" w14:textId="4E86D3D3" w:rsidR="009B1F5D" w:rsidRDefault="009B1F5D" w:rsidP="00D648AC">
      <w:pPr>
        <w:pStyle w:val="ListParagraph"/>
        <w:numPr>
          <w:ilvl w:val="1"/>
          <w:numId w:val="3"/>
        </w:numPr>
        <w:spacing w:after="0"/>
        <w:ind w:left="1080"/>
      </w:pPr>
      <w:r>
        <w:t>Support Services Provider (SSP) for the deaf-blind</w:t>
      </w:r>
    </w:p>
    <w:p w14:paraId="2DED6FFF" w14:textId="34BF5F2B" w:rsidR="009B1F5D" w:rsidRDefault="009B1F5D" w:rsidP="00D648AC">
      <w:pPr>
        <w:pStyle w:val="ListParagraph"/>
        <w:numPr>
          <w:ilvl w:val="1"/>
          <w:numId w:val="3"/>
        </w:numPr>
        <w:spacing w:after="0"/>
        <w:ind w:left="1080"/>
      </w:pPr>
      <w:r>
        <w:t>Qualified readers</w:t>
      </w:r>
    </w:p>
    <w:p w14:paraId="08EE4B0E" w14:textId="24947A05" w:rsidR="009B1F5D" w:rsidRDefault="00AD588F" w:rsidP="00D648AC">
      <w:pPr>
        <w:pStyle w:val="ListParagraph"/>
        <w:numPr>
          <w:ilvl w:val="1"/>
          <w:numId w:val="3"/>
        </w:numPr>
        <w:spacing w:after="0"/>
        <w:ind w:left="1080"/>
      </w:pPr>
      <w:r>
        <w:t>T</w:t>
      </w:r>
      <w:r w:rsidR="009B1F5D">
        <w:t>aped texts</w:t>
      </w:r>
    </w:p>
    <w:p w14:paraId="38C1FB27" w14:textId="4C0E7045" w:rsidR="009B1F5D" w:rsidRDefault="00AD588F" w:rsidP="00D648AC">
      <w:pPr>
        <w:pStyle w:val="ListParagraph"/>
        <w:numPr>
          <w:ilvl w:val="1"/>
          <w:numId w:val="3"/>
        </w:numPr>
        <w:spacing w:after="0"/>
        <w:ind w:left="1080"/>
      </w:pPr>
      <w:r>
        <w:t>A</w:t>
      </w:r>
      <w:r w:rsidR="009B1F5D">
        <w:t>udio recordings</w:t>
      </w:r>
    </w:p>
    <w:p w14:paraId="04CCE150" w14:textId="019D3AE8" w:rsidR="009B1F5D" w:rsidRDefault="009B1F5D" w:rsidP="00D648AC">
      <w:pPr>
        <w:pStyle w:val="ListParagraph"/>
        <w:numPr>
          <w:ilvl w:val="1"/>
          <w:numId w:val="3"/>
        </w:numPr>
        <w:spacing w:after="0"/>
        <w:ind w:left="1080"/>
      </w:pPr>
      <w:r>
        <w:t>Brailled materials and displays</w:t>
      </w:r>
    </w:p>
    <w:p w14:paraId="42EC5AE2" w14:textId="53B67678" w:rsidR="009B1F5D" w:rsidRDefault="00AD588F" w:rsidP="00D648AC">
      <w:pPr>
        <w:pStyle w:val="ListParagraph"/>
        <w:numPr>
          <w:ilvl w:val="1"/>
          <w:numId w:val="3"/>
        </w:numPr>
        <w:spacing w:after="0"/>
        <w:ind w:left="1080"/>
      </w:pPr>
      <w:r>
        <w:t>S</w:t>
      </w:r>
      <w:r w:rsidR="009B1F5D">
        <w:t>creen reader software</w:t>
      </w:r>
    </w:p>
    <w:p w14:paraId="00675903" w14:textId="743FB40D" w:rsidR="009B1F5D" w:rsidRDefault="00AD588F" w:rsidP="00D648AC">
      <w:pPr>
        <w:pStyle w:val="ListParagraph"/>
        <w:numPr>
          <w:ilvl w:val="1"/>
          <w:numId w:val="3"/>
        </w:numPr>
        <w:spacing w:after="0"/>
        <w:ind w:left="1080"/>
      </w:pPr>
      <w:r>
        <w:t>M</w:t>
      </w:r>
      <w:r w:rsidR="009B1F5D">
        <w:t>agnification software</w:t>
      </w:r>
    </w:p>
    <w:p w14:paraId="17CE7174" w14:textId="4280C7B0" w:rsidR="009B1F5D" w:rsidRDefault="00AD588F" w:rsidP="00D648AC">
      <w:pPr>
        <w:pStyle w:val="ListParagraph"/>
        <w:numPr>
          <w:ilvl w:val="1"/>
          <w:numId w:val="3"/>
        </w:numPr>
        <w:spacing w:after="0"/>
        <w:ind w:left="1080"/>
      </w:pPr>
      <w:r>
        <w:t>O</w:t>
      </w:r>
      <w:r w:rsidR="009B1F5D">
        <w:t>ptical readers</w:t>
      </w:r>
    </w:p>
    <w:p w14:paraId="65E32CCE" w14:textId="0E51F32F" w:rsidR="009B1F5D" w:rsidRDefault="00AD588F" w:rsidP="00D648AC">
      <w:pPr>
        <w:pStyle w:val="ListParagraph"/>
        <w:numPr>
          <w:ilvl w:val="1"/>
          <w:numId w:val="3"/>
        </w:numPr>
        <w:spacing w:after="0"/>
        <w:ind w:left="1080"/>
      </w:pPr>
      <w:r>
        <w:t>S</w:t>
      </w:r>
      <w:r w:rsidR="009B1F5D">
        <w:t>econdary auditory programs (SAP)</w:t>
      </w:r>
    </w:p>
    <w:p w14:paraId="573AD5D9" w14:textId="6B54E2FD" w:rsidR="009B1F5D" w:rsidRDefault="00AD588F" w:rsidP="00D648AC">
      <w:pPr>
        <w:pStyle w:val="ListParagraph"/>
        <w:numPr>
          <w:ilvl w:val="1"/>
          <w:numId w:val="3"/>
        </w:numPr>
        <w:spacing w:after="0"/>
        <w:ind w:left="1080"/>
      </w:pPr>
      <w:r>
        <w:t>L</w:t>
      </w:r>
      <w:r w:rsidR="009B1F5D">
        <w:t>arge print materials</w:t>
      </w:r>
    </w:p>
    <w:p w14:paraId="072AD148" w14:textId="156A90B9" w:rsidR="009B1F5D" w:rsidRDefault="00AD588F" w:rsidP="00D648AC">
      <w:pPr>
        <w:pStyle w:val="ListParagraph"/>
        <w:numPr>
          <w:ilvl w:val="1"/>
          <w:numId w:val="3"/>
        </w:numPr>
        <w:spacing w:after="0"/>
        <w:ind w:left="1080"/>
      </w:pPr>
      <w:r>
        <w:t>A</w:t>
      </w:r>
      <w:r w:rsidR="009B1F5D">
        <w:t>ccessible electronic and information technology</w:t>
      </w:r>
    </w:p>
    <w:p w14:paraId="36637881" w14:textId="06F84EA7" w:rsidR="00AD588F" w:rsidRDefault="00AD588F" w:rsidP="00D648AC">
      <w:pPr>
        <w:pStyle w:val="ListParagraph"/>
        <w:numPr>
          <w:ilvl w:val="1"/>
          <w:numId w:val="3"/>
        </w:numPr>
        <w:spacing w:after="0"/>
        <w:ind w:left="1080"/>
      </w:pPr>
      <w:r>
        <w:t>O</w:t>
      </w:r>
      <w:r w:rsidR="009B1F5D">
        <w:t>ther effective methods of making visually delivered materials available to individuals who are blind or have low vision</w:t>
      </w:r>
    </w:p>
    <w:p w14:paraId="02B3345C" w14:textId="77777777" w:rsidR="00D648AC" w:rsidRDefault="00D648AC" w:rsidP="00D648AC">
      <w:pPr>
        <w:pStyle w:val="ListParagraph"/>
        <w:spacing w:after="0"/>
        <w:ind w:left="1080"/>
      </w:pPr>
    </w:p>
    <w:p w14:paraId="1DDE3B3B" w14:textId="2FC77CEC" w:rsidR="009B1F5D" w:rsidRDefault="009B1F5D" w:rsidP="00D648AC">
      <w:pPr>
        <w:pStyle w:val="ListParagraph"/>
        <w:numPr>
          <w:ilvl w:val="1"/>
          <w:numId w:val="4"/>
        </w:numPr>
        <w:spacing w:after="0"/>
        <w:ind w:left="720"/>
      </w:pPr>
      <w:r>
        <w:t xml:space="preserve">Assistive technology assessments to determine whether modified equipment or devices are needed for a student to participate in </w:t>
      </w:r>
      <w:r w:rsidR="00D648AC" w:rsidRPr="00895CC1">
        <w:t>Pre-</w:t>
      </w:r>
      <w:r w:rsidR="00D648AC">
        <w:t>ETS</w:t>
      </w:r>
      <w:r>
        <w:t xml:space="preserve">. </w:t>
      </w:r>
    </w:p>
    <w:p w14:paraId="2FEC5715" w14:textId="77777777" w:rsidR="00D648AC" w:rsidRDefault="00D648AC" w:rsidP="00D648AC">
      <w:pPr>
        <w:pStyle w:val="ListParagraph"/>
        <w:spacing w:after="0"/>
      </w:pPr>
    </w:p>
    <w:p w14:paraId="2CFFE11D" w14:textId="02D73AC7" w:rsidR="00AD588F" w:rsidRDefault="009B1F5D" w:rsidP="00D648AC">
      <w:pPr>
        <w:pStyle w:val="ListParagraph"/>
        <w:numPr>
          <w:ilvl w:val="1"/>
          <w:numId w:val="4"/>
        </w:numPr>
        <w:spacing w:after="0"/>
        <w:ind w:left="720"/>
      </w:pPr>
      <w:r>
        <w:t xml:space="preserve">Non-adapted or adapted equipment or devices, when needed for a student during participation in </w:t>
      </w:r>
      <w:r w:rsidR="00D648AC" w:rsidRPr="00895CC1">
        <w:t>Pre-</w:t>
      </w:r>
      <w:r w:rsidR="00D648AC">
        <w:t>ETS</w:t>
      </w:r>
      <w:r>
        <w:t xml:space="preserve">. DORS will retain ownership of the equipment or device and require its return at the conclusion of the service for which it was provided, so that it may be available for use by other students during </w:t>
      </w:r>
      <w:r w:rsidR="00D648AC" w:rsidRPr="00895CC1">
        <w:t>Pre-</w:t>
      </w:r>
      <w:r w:rsidR="00D648AC">
        <w:t>ETS</w:t>
      </w:r>
      <w:r>
        <w:t xml:space="preserve">. </w:t>
      </w:r>
    </w:p>
    <w:p w14:paraId="18D59A2C" w14:textId="77777777" w:rsidR="00D648AC" w:rsidRDefault="00D648AC" w:rsidP="00D648AC">
      <w:pPr>
        <w:spacing w:after="0"/>
      </w:pPr>
    </w:p>
    <w:p w14:paraId="2E7EB1D6" w14:textId="77777777" w:rsidR="009B1F5D" w:rsidRDefault="009B1F5D" w:rsidP="00D648AC">
      <w:pPr>
        <w:spacing w:after="0"/>
      </w:pPr>
      <w:r>
        <w:t>Pre-ETS funds may not be used to modify a student’s personal equipment or devices, or to provide personal equipment or devices of which students would retain ownership.</w:t>
      </w:r>
    </w:p>
    <w:p w14:paraId="15F69BD1" w14:textId="77777777" w:rsidR="00D648AC" w:rsidRDefault="00D648AC" w:rsidP="00D648AC">
      <w:pPr>
        <w:spacing w:after="0"/>
      </w:pPr>
    </w:p>
    <w:p w14:paraId="4D792241" w14:textId="77777777" w:rsidR="009B1F5D" w:rsidRDefault="009B1F5D" w:rsidP="00D648AC">
      <w:pPr>
        <w:spacing w:after="0"/>
      </w:pPr>
      <w:r>
        <w:t>Auxiliary aids and services do not include:</w:t>
      </w:r>
    </w:p>
    <w:p w14:paraId="30C46B42" w14:textId="77777777" w:rsidR="00D648AC" w:rsidRDefault="00D648AC" w:rsidP="00D648AC">
      <w:pPr>
        <w:spacing w:after="0"/>
      </w:pPr>
    </w:p>
    <w:p w14:paraId="3B23E457" w14:textId="5882C2FB" w:rsidR="009B1F5D" w:rsidRDefault="009B1F5D" w:rsidP="00D648AC">
      <w:pPr>
        <w:pStyle w:val="ListParagraph"/>
        <w:numPr>
          <w:ilvl w:val="1"/>
          <w:numId w:val="3"/>
        </w:numPr>
        <w:spacing w:after="0"/>
        <w:ind w:left="720"/>
      </w:pPr>
      <w:r>
        <w:t>Personal devices (e.g., computers, laptops, tablets, etc.)</w:t>
      </w:r>
    </w:p>
    <w:p w14:paraId="6AFBB771" w14:textId="014BD0B6" w:rsidR="009B1F5D" w:rsidRDefault="009B1F5D" w:rsidP="00D648AC">
      <w:pPr>
        <w:pStyle w:val="ListParagraph"/>
        <w:numPr>
          <w:ilvl w:val="1"/>
          <w:numId w:val="3"/>
        </w:numPr>
        <w:spacing w:after="0"/>
        <w:ind w:left="720"/>
      </w:pPr>
      <w:r>
        <w:t>Prescribed devices (e.g., eyeglasses, hearing aids, wheelchairs)</w:t>
      </w:r>
    </w:p>
    <w:p w14:paraId="55B96216" w14:textId="4CD762EA" w:rsidR="009B1F5D" w:rsidRDefault="009B1F5D" w:rsidP="00D648AC">
      <w:pPr>
        <w:pStyle w:val="ListParagraph"/>
        <w:numPr>
          <w:ilvl w:val="1"/>
          <w:numId w:val="3"/>
        </w:numPr>
        <w:spacing w:after="0"/>
        <w:ind w:left="720"/>
      </w:pPr>
      <w:r>
        <w:t>Readers for personal use or study</w:t>
      </w:r>
    </w:p>
    <w:p w14:paraId="43F4BF62" w14:textId="624A661F" w:rsidR="009B1F5D" w:rsidRDefault="009B1F5D" w:rsidP="00D648AC">
      <w:pPr>
        <w:pStyle w:val="ListParagraph"/>
        <w:numPr>
          <w:ilvl w:val="1"/>
          <w:numId w:val="3"/>
        </w:numPr>
        <w:spacing w:after="0"/>
        <w:ind w:left="720"/>
      </w:pPr>
      <w:r>
        <w:t>Attendant Care or other services of a personal nature</w:t>
      </w:r>
    </w:p>
    <w:p w14:paraId="2C8D3B83" w14:textId="6001F5D7" w:rsidR="00AD588F" w:rsidRDefault="009B1F5D" w:rsidP="00D648AC">
      <w:pPr>
        <w:pStyle w:val="ListParagraph"/>
        <w:numPr>
          <w:ilvl w:val="1"/>
          <w:numId w:val="3"/>
        </w:numPr>
        <w:spacing w:after="0"/>
        <w:ind w:left="720"/>
      </w:pPr>
      <w:r>
        <w:lastRenderedPageBreak/>
        <w:t>Home or vehicle modifications</w:t>
      </w:r>
    </w:p>
    <w:p w14:paraId="7A5394A5" w14:textId="77777777" w:rsidR="00D648AC" w:rsidRDefault="00D648AC" w:rsidP="00D648AC">
      <w:pPr>
        <w:spacing w:after="0"/>
      </w:pPr>
    </w:p>
    <w:p w14:paraId="672052D9" w14:textId="4641314A" w:rsidR="00AD588F" w:rsidRDefault="009B1F5D" w:rsidP="00D648AC">
      <w:pPr>
        <w:pStyle w:val="Heading3"/>
      </w:pPr>
      <w:bookmarkStart w:id="24" w:name="a170302"/>
      <w:bookmarkStart w:id="25" w:name="_Toc19108529"/>
      <w:bookmarkEnd w:id="24"/>
      <w:r>
        <w:t>1703.02 Provision of Other Necessary Support Services</w:t>
      </w:r>
      <w:bookmarkEnd w:id="25"/>
    </w:p>
    <w:p w14:paraId="34137F65" w14:textId="77777777" w:rsidR="00D648AC" w:rsidRDefault="00D648AC" w:rsidP="00D648AC">
      <w:pPr>
        <w:spacing w:after="0"/>
      </w:pPr>
    </w:p>
    <w:p w14:paraId="6B0B0335" w14:textId="77777777" w:rsidR="00D648AC" w:rsidRDefault="009B1F5D" w:rsidP="00D648AC">
      <w:pPr>
        <w:spacing w:after="0"/>
      </w:pPr>
      <w:r>
        <w:t>Funding of services needed shall be determined in collaboration with the local school system and other resources.</w:t>
      </w:r>
    </w:p>
    <w:p w14:paraId="5E1748D0" w14:textId="173C9E7E" w:rsidR="00AD588F" w:rsidRDefault="00743523" w:rsidP="00D648AC">
      <w:pPr>
        <w:spacing w:after="0"/>
      </w:pPr>
      <w:r>
        <w:t xml:space="preserve"> </w:t>
      </w:r>
    </w:p>
    <w:p w14:paraId="49AE9261" w14:textId="00EA68F0" w:rsidR="009B1F5D" w:rsidRDefault="009B1F5D" w:rsidP="00D648AC">
      <w:pPr>
        <w:pStyle w:val="ListParagraph"/>
        <w:numPr>
          <w:ilvl w:val="0"/>
          <w:numId w:val="5"/>
        </w:numPr>
        <w:spacing w:after="0"/>
        <w:ind w:left="720"/>
      </w:pPr>
      <w:r w:rsidRPr="00AD588F">
        <w:rPr>
          <w:b/>
        </w:rPr>
        <w:t>Pre-ETS Case Type</w:t>
      </w:r>
      <w:r>
        <w:t xml:space="preserve"> – When a student requires a personal device to participate in services, DORS may loan the device, contingent on availability. This loan will be documented on the student’s </w:t>
      </w:r>
      <w:hyperlink r:id="rId15" w:anchor="rs10c" w:history="1">
        <w:r w:rsidRPr="00C028F2">
          <w:rPr>
            <w:rStyle w:val="Hyperlink"/>
          </w:rPr>
          <w:t>Pre-ETS Agreement</w:t>
        </w:r>
        <w:r w:rsidR="00C028F2" w:rsidRPr="00C028F2">
          <w:rPr>
            <w:rStyle w:val="Hyperlink"/>
          </w:rPr>
          <w:t xml:space="preserve"> (RS-10c)</w:t>
        </w:r>
      </w:hyperlink>
      <w:r>
        <w:t>, and the student will be required to return the device when no longer required for participation in services.</w:t>
      </w:r>
    </w:p>
    <w:p w14:paraId="72575BFB" w14:textId="77777777" w:rsidR="00D648AC" w:rsidRDefault="00D648AC" w:rsidP="00D648AC">
      <w:pPr>
        <w:pStyle w:val="ListParagraph"/>
        <w:spacing w:after="0"/>
      </w:pPr>
    </w:p>
    <w:p w14:paraId="2DC3531F" w14:textId="45241D79" w:rsidR="009B1F5D" w:rsidRDefault="009B1F5D" w:rsidP="00D648AC">
      <w:pPr>
        <w:pStyle w:val="ListParagraph"/>
        <w:numPr>
          <w:ilvl w:val="0"/>
          <w:numId w:val="5"/>
        </w:numPr>
        <w:spacing w:after="0"/>
        <w:ind w:left="720"/>
      </w:pPr>
      <w:r w:rsidRPr="00AD588F">
        <w:rPr>
          <w:b/>
        </w:rPr>
        <w:t>VR Case Type</w:t>
      </w:r>
      <w:r>
        <w:t xml:space="preserve"> – When a student has an </w:t>
      </w:r>
      <w:hyperlink r:id="rId16" w:anchor="rs6h" w:history="1">
        <w:r w:rsidRPr="00C028F2">
          <w:rPr>
            <w:rStyle w:val="Hyperlink"/>
          </w:rPr>
          <w:t xml:space="preserve">Individualized Plan for Employment </w:t>
        </w:r>
        <w:r w:rsidR="00C028F2" w:rsidRPr="00C028F2">
          <w:rPr>
            <w:rStyle w:val="Hyperlink"/>
          </w:rPr>
          <w:t>(RS-6h)</w:t>
        </w:r>
      </w:hyperlink>
      <w:r w:rsidR="00C028F2">
        <w:t xml:space="preserve"> </w:t>
      </w:r>
      <w:r>
        <w:t>and requires a personal device or other goods and services (e.g.</w:t>
      </w:r>
      <w:r w:rsidR="00C028F2">
        <w:t>,</w:t>
      </w:r>
      <w:r>
        <w:t xml:space="preserve"> uniforms, maintenance and transportation, or bus pass) to participate in any of the five required </w:t>
      </w:r>
      <w:r w:rsidR="00C028F2">
        <w:t>Pre-ETS</w:t>
      </w:r>
      <w:r>
        <w:t xml:space="preserve">, they may be purchased using traditional vocational rehabilitation funding, consistent with the IPE and the DORS financial need policy (see </w:t>
      </w:r>
      <w:hyperlink r:id="rId17" w:anchor="a140302" w:history="1">
        <w:r w:rsidRPr="00120F06">
          <w:rPr>
            <w:rStyle w:val="Hyperlink"/>
          </w:rPr>
          <w:t>RSM 3, Section 1403.02</w:t>
        </w:r>
      </w:hyperlink>
      <w:r>
        <w:t>). DORS may also loan the device, if available.</w:t>
      </w:r>
    </w:p>
    <w:p w14:paraId="018AA66C" w14:textId="77777777" w:rsidR="00C028F2" w:rsidRDefault="00C028F2" w:rsidP="00C028F2">
      <w:pPr>
        <w:spacing w:after="0"/>
      </w:pPr>
    </w:p>
    <w:p w14:paraId="75C04F27" w14:textId="0A6C6F93" w:rsidR="00AD588F" w:rsidRPr="00C028F2" w:rsidRDefault="009B1F5D" w:rsidP="00C028F2">
      <w:pPr>
        <w:pStyle w:val="Heading2"/>
      </w:pPr>
      <w:bookmarkStart w:id="26" w:name="a1704"/>
      <w:bookmarkStart w:id="27" w:name="_Toc19108530"/>
      <w:bookmarkEnd w:id="26"/>
      <w:r w:rsidRPr="00C028F2">
        <w:t>1704 Outreach and Collaboration Responsibilities</w:t>
      </w:r>
      <w:bookmarkEnd w:id="27"/>
      <w:r w:rsidR="00743523">
        <w:t xml:space="preserve"> </w:t>
      </w:r>
    </w:p>
    <w:p w14:paraId="7619500E" w14:textId="77777777" w:rsidR="00C028F2" w:rsidRDefault="00C028F2" w:rsidP="00D648AC">
      <w:pPr>
        <w:spacing w:after="0"/>
      </w:pPr>
    </w:p>
    <w:p w14:paraId="6DA97FFB" w14:textId="52DAD828" w:rsidR="00AD588F" w:rsidRDefault="009B1F5D" w:rsidP="00D648AC">
      <w:pPr>
        <w:spacing w:after="0"/>
      </w:pPr>
      <w:r>
        <w:t xml:space="preserve">DORS managers, counselors, and Business Service Representatives will make every effort to develop and maintain cooperative working relationships with state and local secondary education staff (including alternative school programs), post-secondary education staff, state operated programs, and workforce development partners (i.e., American Job Centers, DLLR, etc.) to coordinate </w:t>
      </w:r>
      <w:r w:rsidR="00C028F2">
        <w:t>Pre-ETS</w:t>
      </w:r>
      <w:r>
        <w:t>.</w:t>
      </w:r>
    </w:p>
    <w:p w14:paraId="30A353BE" w14:textId="77777777" w:rsidR="00C028F2" w:rsidRDefault="00C028F2" w:rsidP="00D648AC">
      <w:pPr>
        <w:spacing w:after="0"/>
      </w:pPr>
    </w:p>
    <w:p w14:paraId="1A9FA0EB" w14:textId="483E0116" w:rsidR="00AD588F" w:rsidRDefault="009B1F5D" w:rsidP="00D648AC">
      <w:pPr>
        <w:spacing w:after="0"/>
      </w:pPr>
      <w:r>
        <w:t>Coordination activities include:</w:t>
      </w:r>
    </w:p>
    <w:p w14:paraId="04D0785E" w14:textId="77777777" w:rsidR="00C028F2" w:rsidRDefault="00C028F2" w:rsidP="00D648AC">
      <w:pPr>
        <w:spacing w:after="0"/>
      </w:pPr>
    </w:p>
    <w:p w14:paraId="4C61122A" w14:textId="4CA6678B" w:rsidR="009B1F5D" w:rsidRDefault="009B1F5D" w:rsidP="00D648AC">
      <w:pPr>
        <w:pStyle w:val="ListParagraph"/>
        <w:numPr>
          <w:ilvl w:val="1"/>
          <w:numId w:val="6"/>
        </w:numPr>
        <w:spacing w:after="0"/>
        <w:ind w:left="720"/>
      </w:pPr>
      <w:r>
        <w:t>Participating in Individualized Education Program (IEP) meetings for both eligible and potentially eligible students. Participation may be in person or by teleconference, when invited, pending DORS representative availability.</w:t>
      </w:r>
      <w:r w:rsidR="00C028F2">
        <w:br/>
      </w:r>
    </w:p>
    <w:p w14:paraId="4302A43B" w14:textId="26DF1E95" w:rsidR="009B1F5D" w:rsidRDefault="009B1F5D" w:rsidP="00D648AC">
      <w:pPr>
        <w:pStyle w:val="ListParagraph"/>
        <w:numPr>
          <w:ilvl w:val="1"/>
          <w:numId w:val="6"/>
        </w:numPr>
        <w:spacing w:after="0"/>
        <w:ind w:left="720"/>
      </w:pPr>
      <w:r>
        <w:t>Making every effort to attend person-centered planning meetings for students with disabilities receiving services under title XIX of the Social Security Act, when invited.</w:t>
      </w:r>
      <w:r w:rsidR="00C028F2">
        <w:br/>
      </w:r>
    </w:p>
    <w:p w14:paraId="57635681" w14:textId="58A500DC" w:rsidR="009B1F5D" w:rsidRDefault="009B1F5D" w:rsidP="00D648AC">
      <w:pPr>
        <w:pStyle w:val="ListParagraph"/>
        <w:numPr>
          <w:ilvl w:val="1"/>
          <w:numId w:val="6"/>
        </w:numPr>
        <w:spacing w:after="0"/>
        <w:ind w:left="720"/>
      </w:pPr>
      <w:r>
        <w:t>Working with American Job Centers, other WIOA Programs, and employers to develop work-based learning experiences for students with disabilities.</w:t>
      </w:r>
      <w:r w:rsidR="00C028F2">
        <w:br/>
      </w:r>
    </w:p>
    <w:p w14:paraId="18FA825C" w14:textId="55647BBD" w:rsidR="009B1F5D" w:rsidRDefault="009B1F5D" w:rsidP="00D648AC">
      <w:pPr>
        <w:pStyle w:val="ListParagraph"/>
        <w:numPr>
          <w:ilvl w:val="1"/>
          <w:numId w:val="6"/>
        </w:numPr>
        <w:spacing w:after="0"/>
        <w:ind w:left="720"/>
      </w:pPr>
      <w:r>
        <w:t xml:space="preserve">Encouraging referral sources to refer students with disabilities in secondary education as early as age 14 for </w:t>
      </w:r>
      <w:r w:rsidR="00C028F2">
        <w:t>Pre-ETS</w:t>
      </w:r>
      <w:r>
        <w:t xml:space="preserve"> and to check on the status of these referrals.</w:t>
      </w:r>
      <w:r w:rsidR="00C028F2">
        <w:br/>
      </w:r>
    </w:p>
    <w:p w14:paraId="5D67C1B0" w14:textId="0AEBDD14" w:rsidR="009B1F5D" w:rsidRDefault="009B1F5D" w:rsidP="00D648AC">
      <w:pPr>
        <w:pStyle w:val="ListParagraph"/>
        <w:numPr>
          <w:ilvl w:val="1"/>
          <w:numId w:val="6"/>
        </w:numPr>
        <w:spacing w:after="0"/>
        <w:ind w:left="720"/>
      </w:pPr>
      <w:r>
        <w:t>Providing accurate information to referral sources regarding the timeline and application process for vocational rehabilitation services.</w:t>
      </w:r>
      <w:r w:rsidR="00C028F2">
        <w:br/>
      </w:r>
    </w:p>
    <w:p w14:paraId="398085B7" w14:textId="158CEC75" w:rsidR="009B1F5D" w:rsidRDefault="009B1F5D" w:rsidP="00D648AC">
      <w:pPr>
        <w:spacing w:after="0"/>
      </w:pPr>
      <w:r>
        <w:t>School officials continue to be responsible for providing a free and appropriate public education to include transition services required under IDEA. </w:t>
      </w:r>
      <w:r w:rsidR="00C028F2">
        <w:br/>
      </w:r>
    </w:p>
    <w:p w14:paraId="142F4D48" w14:textId="5A669598" w:rsidR="00AD588F" w:rsidRPr="00C028F2" w:rsidRDefault="009B1F5D" w:rsidP="00743523">
      <w:pPr>
        <w:pStyle w:val="Heading2"/>
      </w:pPr>
      <w:bookmarkStart w:id="28" w:name="a1705"/>
      <w:bookmarkStart w:id="29" w:name="_Toc19108531"/>
      <w:bookmarkEnd w:id="28"/>
      <w:r w:rsidRPr="00C028F2">
        <w:t xml:space="preserve">1705 Provision of </w:t>
      </w:r>
      <w:r w:rsidR="00C028F2">
        <w:t>Pre-ETS</w:t>
      </w:r>
      <w:r w:rsidR="00C028F2" w:rsidRPr="00C028F2">
        <w:t xml:space="preserve"> </w:t>
      </w:r>
      <w:r w:rsidRPr="00C028F2">
        <w:t>to Students with Disabilities</w:t>
      </w:r>
      <w:bookmarkEnd w:id="29"/>
    </w:p>
    <w:p w14:paraId="5A581414" w14:textId="77777777" w:rsidR="00C028F2" w:rsidRDefault="00C028F2" w:rsidP="00743523">
      <w:pPr>
        <w:keepNext/>
        <w:spacing w:after="0"/>
      </w:pPr>
    </w:p>
    <w:p w14:paraId="75B46D30" w14:textId="504BA78A" w:rsidR="00AD588F" w:rsidRDefault="009B1F5D" w:rsidP="00D648AC">
      <w:pPr>
        <w:spacing w:after="0"/>
      </w:pPr>
      <w:r>
        <w:t>Pre-ETS provision to students with disabilities shall be:</w:t>
      </w:r>
    </w:p>
    <w:p w14:paraId="016748A1" w14:textId="77777777" w:rsidR="00C028F2" w:rsidRDefault="00C028F2" w:rsidP="00D648AC">
      <w:pPr>
        <w:spacing w:after="0"/>
      </w:pPr>
    </w:p>
    <w:p w14:paraId="3BA732D6" w14:textId="725A06C0" w:rsidR="00AD588F" w:rsidRDefault="009B1F5D" w:rsidP="00D648AC">
      <w:pPr>
        <w:pStyle w:val="ListParagraph"/>
        <w:numPr>
          <w:ilvl w:val="1"/>
          <w:numId w:val="7"/>
        </w:numPr>
        <w:spacing w:after="0"/>
        <w:ind w:left="720"/>
      </w:pPr>
      <w:r>
        <w:lastRenderedPageBreak/>
        <w:t>Governed by the Division’s policies and procedures</w:t>
      </w:r>
      <w:r w:rsidR="00C028F2">
        <w:br/>
      </w:r>
    </w:p>
    <w:p w14:paraId="1C052B27" w14:textId="02C1F1C9" w:rsidR="009B1F5D" w:rsidRDefault="009B1F5D" w:rsidP="00D648AC">
      <w:pPr>
        <w:pStyle w:val="ListParagraph"/>
        <w:numPr>
          <w:ilvl w:val="1"/>
          <w:numId w:val="7"/>
        </w:numPr>
        <w:spacing w:after="0"/>
        <w:ind w:left="720"/>
      </w:pPr>
      <w:r>
        <w:t>In accordance with:</w:t>
      </w:r>
      <w:r w:rsidR="00C028F2">
        <w:br/>
      </w:r>
    </w:p>
    <w:p w14:paraId="0D554493" w14:textId="4B8F0039" w:rsidR="009B1F5D" w:rsidRDefault="009B1F5D" w:rsidP="00D648AC">
      <w:pPr>
        <w:pStyle w:val="ListParagraph"/>
        <w:numPr>
          <w:ilvl w:val="0"/>
          <w:numId w:val="8"/>
        </w:numPr>
        <w:spacing w:after="0"/>
      </w:pPr>
      <w:r>
        <w:t>State and federal law and regulation</w:t>
      </w:r>
    </w:p>
    <w:p w14:paraId="1B3460DE" w14:textId="480862BF" w:rsidR="009B1F5D" w:rsidRDefault="009B1F5D" w:rsidP="00D648AC">
      <w:pPr>
        <w:pStyle w:val="ListParagraph"/>
        <w:numPr>
          <w:ilvl w:val="0"/>
          <w:numId w:val="8"/>
        </w:numPr>
        <w:spacing w:after="0"/>
      </w:pPr>
      <w:r>
        <w:t>The statewide educational cooperative agreement developed among the Maryland State Department of Education’s Divisions of Rehabilitation Services; Special Education/Early Intervention Services; Career Technology and Adult Learning; and Student and School Services</w:t>
      </w:r>
    </w:p>
    <w:p w14:paraId="4374F798" w14:textId="636053A6" w:rsidR="009B1F5D" w:rsidRDefault="009B1F5D" w:rsidP="00D648AC">
      <w:pPr>
        <w:pStyle w:val="ListParagraph"/>
        <w:numPr>
          <w:ilvl w:val="0"/>
          <w:numId w:val="8"/>
        </w:numPr>
        <w:spacing w:after="0"/>
      </w:pPr>
      <w:r>
        <w:t>Transitioning Students with Disabilities, Education Article 21-305 in the development of Local Cooperative Agreements</w:t>
      </w:r>
      <w:r w:rsidR="00C028F2">
        <w:br/>
      </w:r>
    </w:p>
    <w:p w14:paraId="794B5EFA" w14:textId="04C123A4" w:rsidR="009B1F5D" w:rsidRDefault="009B1F5D" w:rsidP="00D648AC">
      <w:pPr>
        <w:pStyle w:val="ListParagraph"/>
        <w:numPr>
          <w:ilvl w:val="1"/>
          <w:numId w:val="7"/>
        </w:numPr>
        <w:spacing w:after="0"/>
        <w:ind w:left="720"/>
      </w:pPr>
      <w:r>
        <w:t>Made available to students with disabilities statewide, to include those that are “potentially eligible” for VR services.</w:t>
      </w:r>
      <w:r w:rsidR="00C028F2">
        <w:br/>
      </w:r>
    </w:p>
    <w:p w14:paraId="5B879813" w14:textId="5089A053" w:rsidR="009B1F5D" w:rsidRDefault="009B1F5D" w:rsidP="00D648AC">
      <w:pPr>
        <w:pStyle w:val="ListParagraph"/>
        <w:numPr>
          <w:ilvl w:val="1"/>
          <w:numId w:val="7"/>
        </w:numPr>
        <w:spacing w:after="0"/>
        <w:ind w:left="720"/>
      </w:pPr>
      <w:r>
        <w:t xml:space="preserve">Provided based on parental consent to participate in </w:t>
      </w:r>
      <w:r w:rsidR="00C028F2">
        <w:t xml:space="preserve">Pre-ETS </w:t>
      </w:r>
      <w:r>
        <w:t xml:space="preserve">obtained pursuant to the State law, as well as policies of the educational programs. </w:t>
      </w:r>
      <w:r w:rsidR="00C028F2">
        <w:br/>
      </w:r>
    </w:p>
    <w:p w14:paraId="2991D7AC" w14:textId="2F35E31D" w:rsidR="009B1F5D" w:rsidRDefault="009B1F5D" w:rsidP="00D648AC">
      <w:pPr>
        <w:pStyle w:val="ListParagraph"/>
        <w:numPr>
          <w:ilvl w:val="1"/>
          <w:numId w:val="7"/>
        </w:numPr>
        <w:spacing w:after="0"/>
        <w:ind w:left="720"/>
      </w:pPr>
      <w:r>
        <w:t xml:space="preserve">Students with disabilities are not exempt from any of the order of selection requirements for </w:t>
      </w:r>
      <w:r w:rsidR="00C028F2">
        <w:t xml:space="preserve">VR </w:t>
      </w:r>
      <w:r>
        <w:t>services.</w:t>
      </w:r>
      <w:r w:rsidR="00743523">
        <w:t xml:space="preserve"> </w:t>
      </w:r>
      <w:r>
        <w:t xml:space="preserve">A student with a disability who needs individualized VR services, in addition to </w:t>
      </w:r>
      <w:r w:rsidR="00C028F2">
        <w:t>Pre-ETS</w:t>
      </w:r>
      <w:r>
        <w:t xml:space="preserve">, must apply and be determined eligible (see </w:t>
      </w:r>
      <w:hyperlink r:id="rId18" w:history="1">
        <w:r w:rsidRPr="00120F06">
          <w:rPr>
            <w:rStyle w:val="Hyperlink"/>
          </w:rPr>
          <w:t>Section 500</w:t>
        </w:r>
      </w:hyperlink>
      <w:r>
        <w:t xml:space="preserve">) for the VR program and have an approved </w:t>
      </w:r>
      <w:hyperlink r:id="rId19" w:anchor="rs6h" w:history="1">
        <w:r w:rsidR="00C028F2" w:rsidRPr="00C028F2">
          <w:rPr>
            <w:rStyle w:val="Hyperlink"/>
          </w:rPr>
          <w:t>Individualized Plan for Employment (RS-6h)</w:t>
        </w:r>
      </w:hyperlink>
      <w:r w:rsidR="00C028F2">
        <w:t xml:space="preserve"> </w:t>
      </w:r>
      <w:r>
        <w:t xml:space="preserve">(see </w:t>
      </w:r>
      <w:hyperlink r:id="rId20" w:anchor="a604" w:history="1">
        <w:r w:rsidRPr="00120F06">
          <w:rPr>
            <w:rStyle w:val="Hyperlink"/>
          </w:rPr>
          <w:t>Section 604</w:t>
        </w:r>
      </w:hyperlink>
      <w:r>
        <w:t>).</w:t>
      </w:r>
    </w:p>
    <w:p w14:paraId="56370802" w14:textId="77777777" w:rsidR="00C028F2" w:rsidRDefault="00C028F2" w:rsidP="00C028F2">
      <w:pPr>
        <w:spacing w:after="0"/>
      </w:pPr>
    </w:p>
    <w:p w14:paraId="68AB3272" w14:textId="48259BED" w:rsidR="00AD588F" w:rsidRDefault="009B1F5D" w:rsidP="00C028F2">
      <w:pPr>
        <w:pStyle w:val="Heading2"/>
      </w:pPr>
      <w:bookmarkStart w:id="30" w:name="a1706"/>
      <w:bookmarkStart w:id="31" w:name="_1706_Pre-Employment_Transition"/>
      <w:bookmarkStart w:id="32" w:name="_Toc19108532"/>
      <w:bookmarkEnd w:id="30"/>
      <w:bookmarkEnd w:id="31"/>
      <w:r>
        <w:t xml:space="preserve">1706 </w:t>
      </w:r>
      <w:r w:rsidR="00C028F2">
        <w:t>Pre-ETS</w:t>
      </w:r>
      <w:r>
        <w:t xml:space="preserve"> Referral Process</w:t>
      </w:r>
      <w:bookmarkEnd w:id="32"/>
    </w:p>
    <w:p w14:paraId="4C1C0D54" w14:textId="77777777" w:rsidR="00C028F2" w:rsidRDefault="00C028F2" w:rsidP="00D648AC">
      <w:pPr>
        <w:spacing w:after="0"/>
      </w:pPr>
    </w:p>
    <w:p w14:paraId="0E8CF1AE" w14:textId="2C643814" w:rsidR="00AD588F" w:rsidRDefault="009B1F5D" w:rsidP="00D648AC">
      <w:pPr>
        <w:spacing w:after="0"/>
      </w:pPr>
      <w:r>
        <w:t>To ensure that requests for pre-employment transition services are accepted, assigned, and registered in AWARE</w:t>
      </w:r>
      <w:r w:rsidR="00AD588F">
        <w:t>™</w:t>
      </w:r>
      <w:r>
        <w:t xml:space="preserve"> promptly, referrals of students with disabilities shall be managed as indicated below:</w:t>
      </w:r>
    </w:p>
    <w:p w14:paraId="2C85C32F" w14:textId="77777777" w:rsidR="00C028F2" w:rsidRDefault="00C028F2" w:rsidP="00D648AC">
      <w:pPr>
        <w:spacing w:after="0"/>
      </w:pPr>
    </w:p>
    <w:p w14:paraId="4D90531A" w14:textId="229DA92F" w:rsidR="009B1F5D" w:rsidRDefault="009B1F5D" w:rsidP="00D648AC">
      <w:pPr>
        <w:pStyle w:val="ListParagraph"/>
        <w:numPr>
          <w:ilvl w:val="1"/>
          <w:numId w:val="9"/>
        </w:numPr>
        <w:spacing w:after="0"/>
        <w:ind w:left="720"/>
      </w:pPr>
      <w:r>
        <w:t>A referral may be submitted by school personnel, family members, guardians, or other interested persons via an online referral form, paper referral form, or phone call. Referral information should include:</w:t>
      </w:r>
      <w:r w:rsidR="00C028F2">
        <w:br/>
      </w:r>
    </w:p>
    <w:p w14:paraId="34D0F69F" w14:textId="3A6FD68A" w:rsidR="009B1F5D" w:rsidRDefault="009B1F5D" w:rsidP="00D648AC">
      <w:pPr>
        <w:pStyle w:val="ListParagraph"/>
        <w:numPr>
          <w:ilvl w:val="0"/>
          <w:numId w:val="10"/>
        </w:numPr>
        <w:spacing w:after="0"/>
      </w:pPr>
      <w:r>
        <w:t xml:space="preserve">Social security number (optional, not included when the online referral process is used, and may also be collected on </w:t>
      </w:r>
      <w:hyperlink r:id="rId21" w:anchor="rs10b" w:history="1">
        <w:r w:rsidRPr="00C028F2">
          <w:rPr>
            <w:rStyle w:val="Hyperlink"/>
          </w:rPr>
          <w:t>Pre-ETS Student Information Form</w:t>
        </w:r>
        <w:r w:rsidR="00C028F2" w:rsidRPr="00C028F2">
          <w:rPr>
            <w:rStyle w:val="Hyperlink"/>
          </w:rPr>
          <w:t xml:space="preserve"> (RS-10b</w:t>
        </w:r>
        <w:r w:rsidRPr="00C028F2">
          <w:rPr>
            <w:rStyle w:val="Hyperlink"/>
          </w:rPr>
          <w:t>)</w:t>
        </w:r>
      </w:hyperlink>
      <w:r w:rsidR="00C028F2">
        <w:t>.</w:t>
      </w:r>
    </w:p>
    <w:p w14:paraId="4F91F3FF" w14:textId="3047BE76" w:rsidR="009B1F5D" w:rsidRDefault="009B1F5D" w:rsidP="00D648AC">
      <w:pPr>
        <w:pStyle w:val="ListParagraph"/>
        <w:numPr>
          <w:ilvl w:val="0"/>
          <w:numId w:val="10"/>
        </w:numPr>
        <w:spacing w:after="0"/>
      </w:pPr>
      <w:r>
        <w:t>Date of birth</w:t>
      </w:r>
    </w:p>
    <w:p w14:paraId="2D4A6D5B" w14:textId="4B6285DD" w:rsidR="009B1F5D" w:rsidRDefault="009B1F5D" w:rsidP="00D648AC">
      <w:pPr>
        <w:pStyle w:val="ListParagraph"/>
        <w:numPr>
          <w:ilvl w:val="0"/>
          <w:numId w:val="10"/>
        </w:numPr>
        <w:spacing w:after="0"/>
      </w:pPr>
      <w:r>
        <w:t>Race and ethnicity</w:t>
      </w:r>
    </w:p>
    <w:p w14:paraId="1B520F3B" w14:textId="1DB656B0" w:rsidR="009B1F5D" w:rsidRDefault="009B1F5D" w:rsidP="00D648AC">
      <w:pPr>
        <w:pStyle w:val="ListParagraph"/>
        <w:numPr>
          <w:ilvl w:val="0"/>
          <w:numId w:val="10"/>
        </w:numPr>
        <w:spacing w:after="0"/>
      </w:pPr>
      <w:r>
        <w:t>Disability</w:t>
      </w:r>
    </w:p>
    <w:p w14:paraId="361F15BD" w14:textId="42E38C7D" w:rsidR="009B1F5D" w:rsidRDefault="00C028F2" w:rsidP="00D648AC">
      <w:pPr>
        <w:pStyle w:val="ListParagraph"/>
        <w:numPr>
          <w:ilvl w:val="0"/>
          <w:numId w:val="10"/>
        </w:numPr>
        <w:spacing w:after="0"/>
      </w:pPr>
      <w:r>
        <w:t>10</w:t>
      </w:r>
      <w:r w:rsidR="009B1F5D">
        <w:t>-digit state student identification number for high school students (may be found on student's Individualized Education Plan, if available)</w:t>
      </w:r>
      <w:r>
        <w:br/>
      </w:r>
    </w:p>
    <w:p w14:paraId="6191BC30" w14:textId="6F863470" w:rsidR="009B1F5D" w:rsidRDefault="009B1F5D" w:rsidP="00D648AC">
      <w:pPr>
        <w:pStyle w:val="ListParagraph"/>
        <w:numPr>
          <w:ilvl w:val="1"/>
          <w:numId w:val="9"/>
        </w:numPr>
        <w:spacing w:after="0"/>
        <w:ind w:left="720"/>
      </w:pPr>
      <w:r>
        <w:t>DORS staff shall establish referral procedures with school officials to assure that:</w:t>
      </w:r>
      <w:r w:rsidR="00C028F2">
        <w:br/>
      </w:r>
    </w:p>
    <w:p w14:paraId="2EED770C" w14:textId="0A969165" w:rsidR="009B1F5D" w:rsidRDefault="009B1F5D" w:rsidP="00D648AC">
      <w:pPr>
        <w:pStyle w:val="ListParagraph"/>
        <w:numPr>
          <w:ilvl w:val="0"/>
          <w:numId w:val="11"/>
        </w:numPr>
        <w:spacing w:after="0"/>
      </w:pPr>
      <w:r>
        <w:t>Parent/Guardian consent for DORS collaboration with the school is obtained.</w:t>
      </w:r>
      <w:r w:rsidR="00C028F2">
        <w:br/>
      </w:r>
    </w:p>
    <w:p w14:paraId="66FCD9A1" w14:textId="157C9BFC" w:rsidR="009B1F5D" w:rsidRDefault="009B1F5D" w:rsidP="00D648AC">
      <w:pPr>
        <w:pStyle w:val="ListParagraph"/>
        <w:numPr>
          <w:ilvl w:val="0"/>
          <w:numId w:val="11"/>
        </w:numPr>
        <w:spacing w:after="0"/>
      </w:pPr>
      <w:r>
        <w:t xml:space="preserve">Student referred for </w:t>
      </w:r>
      <w:r w:rsidR="00C028F2">
        <w:t xml:space="preserve">Pre-ETS </w:t>
      </w:r>
      <w:r>
        <w:t>meet the definition of “</w:t>
      </w:r>
      <w:hyperlink w:anchor="SwaD" w:history="1">
        <w:r w:rsidRPr="00313AD2">
          <w:rPr>
            <w:rStyle w:val="Hyperlink"/>
          </w:rPr>
          <w:t>student with a disability</w:t>
        </w:r>
      </w:hyperlink>
      <w:r>
        <w:t>.”</w:t>
      </w:r>
      <w:r w:rsidR="00C028F2">
        <w:br/>
      </w:r>
    </w:p>
    <w:p w14:paraId="0D35E044" w14:textId="02C47004" w:rsidR="009B1F5D" w:rsidRDefault="009B1F5D" w:rsidP="00D648AC">
      <w:pPr>
        <w:pStyle w:val="ListParagraph"/>
        <w:numPr>
          <w:ilvl w:val="0"/>
          <w:numId w:val="11"/>
        </w:numPr>
        <w:spacing w:after="0"/>
      </w:pPr>
      <w:r>
        <w:t xml:space="preserve">Student has medical and/or school documentation substantiating that the individual is a student with a disability (i.e., the IEP, 504 plan or doctor’s note) for purposes of providing </w:t>
      </w:r>
      <w:r w:rsidR="00C028F2">
        <w:t>Pre-ETS</w:t>
      </w:r>
      <w:r>
        <w:t>.</w:t>
      </w:r>
      <w:r w:rsidR="00C028F2">
        <w:br/>
      </w:r>
      <w:r>
        <w:t xml:space="preserve"> </w:t>
      </w:r>
    </w:p>
    <w:p w14:paraId="66E93DF5" w14:textId="5A774663" w:rsidR="009B1F5D" w:rsidRDefault="009B1F5D" w:rsidP="00D648AC">
      <w:pPr>
        <w:pStyle w:val="ListParagraph"/>
        <w:numPr>
          <w:ilvl w:val="0"/>
          <w:numId w:val="11"/>
        </w:numPr>
        <w:spacing w:after="0"/>
      </w:pPr>
      <w:r>
        <w:t xml:space="preserve">Referrals from school personnel include pertinent and available school-based assessment information (e.g., psychological evaluations, vocational evaluations, and medical or specialty </w:t>
      </w:r>
      <w:r>
        <w:lastRenderedPageBreak/>
        <w:t xml:space="preserve">screenings), in the event that the student applies for </w:t>
      </w:r>
      <w:r w:rsidR="00C028F2">
        <w:t xml:space="preserve">VR </w:t>
      </w:r>
      <w:r>
        <w:t xml:space="preserve">services. </w:t>
      </w:r>
      <w:r w:rsidR="00C028F2">
        <w:br/>
      </w:r>
    </w:p>
    <w:p w14:paraId="1CFAD51F" w14:textId="644343E7" w:rsidR="009B1F5D" w:rsidRDefault="009B1F5D" w:rsidP="00D648AC">
      <w:pPr>
        <w:pStyle w:val="ListParagraph"/>
        <w:numPr>
          <w:ilvl w:val="1"/>
          <w:numId w:val="9"/>
        </w:numPr>
        <w:spacing w:after="0"/>
        <w:ind w:left="720"/>
      </w:pPr>
      <w:r>
        <w:t xml:space="preserve">When a student is referred for DORS services by sources other than the school, the </w:t>
      </w:r>
      <w:r w:rsidR="00C028F2">
        <w:t xml:space="preserve">VR </w:t>
      </w:r>
      <w:r>
        <w:t>counselor will notify the appropriate school personnel of the referral upon obtaining the appropriate authorization for release of information (</w:t>
      </w:r>
      <w:hyperlink r:id="rId22" w:history="1">
        <w:r w:rsidRPr="00120F06">
          <w:rPr>
            <w:rStyle w:val="Hyperlink"/>
          </w:rPr>
          <w:t>Section 200</w:t>
        </w:r>
      </w:hyperlink>
      <w:r>
        <w:t>) to promote information sharing and collaboration.</w:t>
      </w:r>
      <w:r w:rsidR="00C028F2">
        <w:br/>
      </w:r>
    </w:p>
    <w:p w14:paraId="5DCEB611" w14:textId="58F20BB2" w:rsidR="009B1F5D" w:rsidRDefault="009B1F5D" w:rsidP="00D648AC">
      <w:pPr>
        <w:pStyle w:val="ListParagraph"/>
        <w:numPr>
          <w:ilvl w:val="1"/>
          <w:numId w:val="9"/>
        </w:numPr>
        <w:spacing w:after="0"/>
        <w:ind w:left="720"/>
      </w:pPr>
      <w:r>
        <w:t>Within no more than 15 working days of the receipt of a referral, Division staff will provide the individual with the following documents and a cover letter requesting required documentation if not already provided:</w:t>
      </w:r>
    </w:p>
    <w:p w14:paraId="63222CFB" w14:textId="77777777" w:rsidR="00C028F2" w:rsidRDefault="00C028F2" w:rsidP="00C028F2">
      <w:pPr>
        <w:spacing w:after="0"/>
      </w:pPr>
    </w:p>
    <w:p w14:paraId="5E2B7FAB" w14:textId="21AD4A1C" w:rsidR="009B1F5D" w:rsidRDefault="00C72DF0" w:rsidP="00D648AC">
      <w:pPr>
        <w:pStyle w:val="ListParagraph"/>
        <w:numPr>
          <w:ilvl w:val="0"/>
          <w:numId w:val="12"/>
        </w:numPr>
        <w:spacing w:after="0"/>
      </w:pPr>
      <w:hyperlink r:id="rId23" w:anchor="rs10a" w:history="1">
        <w:r w:rsidR="00437CBE">
          <w:rPr>
            <w:rStyle w:val="Hyperlink"/>
          </w:rPr>
          <w:t>Pre-ETS Fact Sheet (RS-10a)</w:t>
        </w:r>
      </w:hyperlink>
    </w:p>
    <w:p w14:paraId="45CDA6A0" w14:textId="177F3F52" w:rsidR="009B1F5D" w:rsidRDefault="00C72DF0" w:rsidP="00D648AC">
      <w:pPr>
        <w:pStyle w:val="ListParagraph"/>
        <w:numPr>
          <w:ilvl w:val="0"/>
          <w:numId w:val="12"/>
        </w:numPr>
        <w:spacing w:after="0"/>
      </w:pPr>
      <w:hyperlink r:id="rId24" w:anchor="rs10b" w:history="1">
        <w:r w:rsidR="00437CBE">
          <w:rPr>
            <w:rStyle w:val="Hyperlink"/>
          </w:rPr>
          <w:t>Pre-ETS Student Information Form (RS-10b)</w:t>
        </w:r>
      </w:hyperlink>
    </w:p>
    <w:p w14:paraId="7D7E2A5A" w14:textId="653CF168" w:rsidR="009B1F5D" w:rsidRDefault="00C72DF0" w:rsidP="00D648AC">
      <w:pPr>
        <w:pStyle w:val="ListParagraph"/>
        <w:numPr>
          <w:ilvl w:val="0"/>
          <w:numId w:val="12"/>
        </w:numPr>
        <w:spacing w:after="0"/>
      </w:pPr>
      <w:hyperlink r:id="rId25" w:history="1">
        <w:r w:rsidR="009B1F5D" w:rsidRPr="00120F06">
          <w:rPr>
            <w:rStyle w:val="Hyperlink"/>
          </w:rPr>
          <w:t>Client Assistance Program brochure</w:t>
        </w:r>
      </w:hyperlink>
      <w:r w:rsidR="009B1F5D">
        <w:t xml:space="preserve"> </w:t>
      </w:r>
    </w:p>
    <w:p w14:paraId="6C2BC3EA" w14:textId="491FF3EC" w:rsidR="009B1F5D" w:rsidRDefault="00C72DF0" w:rsidP="00D648AC">
      <w:pPr>
        <w:pStyle w:val="ListParagraph"/>
        <w:numPr>
          <w:ilvl w:val="0"/>
          <w:numId w:val="12"/>
        </w:numPr>
        <w:spacing w:after="0"/>
      </w:pPr>
      <w:hyperlink r:id="rId26" w:history="1">
        <w:r w:rsidR="009B1F5D" w:rsidRPr="00120F06">
          <w:rPr>
            <w:rStyle w:val="Hyperlink"/>
          </w:rPr>
          <w:t>Informed Choice brochure</w:t>
        </w:r>
      </w:hyperlink>
    </w:p>
    <w:p w14:paraId="6607E68F" w14:textId="3C2AA62E" w:rsidR="009B1F5D" w:rsidRDefault="00C72DF0" w:rsidP="00D648AC">
      <w:pPr>
        <w:pStyle w:val="ListParagraph"/>
        <w:numPr>
          <w:ilvl w:val="0"/>
          <w:numId w:val="12"/>
        </w:numPr>
        <w:spacing w:after="0"/>
      </w:pPr>
      <w:hyperlink r:id="rId27" w:anchor="rs1m" w:history="1">
        <w:r w:rsidR="009B1F5D" w:rsidRPr="00120F06">
          <w:rPr>
            <w:rStyle w:val="Hyperlink"/>
          </w:rPr>
          <w:t>Professional Disclosure Statemen</w:t>
        </w:r>
        <w:r w:rsidR="00120F06" w:rsidRPr="00120F06">
          <w:rPr>
            <w:rStyle w:val="Hyperlink"/>
          </w:rPr>
          <w:t>t (RS</w:t>
        </w:r>
        <w:r w:rsidR="009B1F5D" w:rsidRPr="00120F06">
          <w:rPr>
            <w:rStyle w:val="Hyperlink"/>
          </w:rPr>
          <w:t>-1m)</w:t>
        </w:r>
      </w:hyperlink>
    </w:p>
    <w:p w14:paraId="5C7D5A33" w14:textId="77777777" w:rsidR="00C028F2" w:rsidRDefault="00C028F2" w:rsidP="00C028F2">
      <w:pPr>
        <w:spacing w:after="0"/>
      </w:pPr>
    </w:p>
    <w:p w14:paraId="5824F435" w14:textId="537FCCC2" w:rsidR="009B1F5D" w:rsidRDefault="009B1F5D" w:rsidP="00D648AC">
      <w:pPr>
        <w:pStyle w:val="ListParagraph"/>
        <w:numPr>
          <w:ilvl w:val="1"/>
          <w:numId w:val="9"/>
        </w:numPr>
        <w:spacing w:after="0"/>
        <w:ind w:left="720"/>
      </w:pPr>
      <w:r>
        <w:t xml:space="preserve">Student information shall remain in the referral module until all required documentation (i.e. enrollment, disability, and the </w:t>
      </w:r>
      <w:hyperlink r:id="rId28" w:anchor="rs10b" w:history="1">
        <w:r w:rsidRPr="00437CBE">
          <w:rPr>
            <w:rStyle w:val="Hyperlink"/>
          </w:rPr>
          <w:t>Pre-ETS Student Information Form</w:t>
        </w:r>
        <w:r w:rsidR="00C028F2" w:rsidRPr="00437CBE">
          <w:rPr>
            <w:rStyle w:val="Hyperlink"/>
          </w:rPr>
          <w:t xml:space="preserve"> (RS-10b)</w:t>
        </w:r>
      </w:hyperlink>
      <w:r>
        <w:t xml:space="preserve"> signed by the student and, if student is a minor or in high school, the parent/legal guardian) is received.</w:t>
      </w:r>
      <w:r w:rsidR="00C028F2">
        <w:br/>
      </w:r>
    </w:p>
    <w:p w14:paraId="1CB9838D" w14:textId="1565D69D" w:rsidR="009B1F5D" w:rsidRDefault="009B1F5D" w:rsidP="00D648AC">
      <w:pPr>
        <w:pStyle w:val="ListParagraph"/>
        <w:numPr>
          <w:ilvl w:val="1"/>
          <w:numId w:val="9"/>
        </w:numPr>
        <w:spacing w:after="0"/>
        <w:ind w:left="720"/>
      </w:pPr>
      <w:r>
        <w:t>If all required documentation is not provided or the student or parent/legal guardian does not respond to a minimum of two documented DORS contacts, the referral may be closed and the student notified accordingly.</w:t>
      </w:r>
    </w:p>
    <w:p w14:paraId="7EE6F74F" w14:textId="77777777" w:rsidR="00C028F2" w:rsidRDefault="00C028F2" w:rsidP="00C028F2">
      <w:pPr>
        <w:spacing w:after="0"/>
      </w:pPr>
    </w:p>
    <w:p w14:paraId="3E706ADE" w14:textId="53601801" w:rsidR="009B1F5D" w:rsidRDefault="009B1F5D" w:rsidP="00D648AC">
      <w:pPr>
        <w:spacing w:after="0"/>
      </w:pPr>
      <w:r>
        <w:t xml:space="preserve">When a referral for </w:t>
      </w:r>
      <w:r w:rsidR="00C028F2">
        <w:t xml:space="preserve">Pre-ETS </w:t>
      </w:r>
      <w:r>
        <w:t xml:space="preserve">is received for a student who will soon no longer qualify for </w:t>
      </w:r>
      <w:r w:rsidR="00C028F2">
        <w:t xml:space="preserve">Pre-ETS </w:t>
      </w:r>
      <w:r>
        <w:t xml:space="preserve">or who may be automatically eligible for VR services under an open disability priority category, consult with local management regarding how best to process the referral. </w:t>
      </w:r>
    </w:p>
    <w:p w14:paraId="2885CADC" w14:textId="77777777" w:rsidR="00C028F2" w:rsidRDefault="00C028F2" w:rsidP="00D648AC">
      <w:pPr>
        <w:spacing w:after="0"/>
      </w:pPr>
    </w:p>
    <w:p w14:paraId="7598A081" w14:textId="20BF2BDC" w:rsidR="007950A9" w:rsidRPr="00C028F2" w:rsidRDefault="009B1F5D" w:rsidP="00C028F2">
      <w:pPr>
        <w:pStyle w:val="Heading2"/>
      </w:pPr>
      <w:bookmarkStart w:id="33" w:name="a1707"/>
      <w:bookmarkStart w:id="34" w:name="_Toc19108533"/>
      <w:bookmarkEnd w:id="33"/>
      <w:r w:rsidRPr="00C028F2">
        <w:t xml:space="preserve">1707 Provision of </w:t>
      </w:r>
      <w:r w:rsidR="00C028F2">
        <w:t>Pre-ETS</w:t>
      </w:r>
      <w:bookmarkEnd w:id="34"/>
    </w:p>
    <w:p w14:paraId="2FC4345D" w14:textId="77777777" w:rsidR="00C028F2" w:rsidRDefault="00C028F2" w:rsidP="00D648AC">
      <w:pPr>
        <w:spacing w:after="0"/>
      </w:pPr>
    </w:p>
    <w:p w14:paraId="7B525FA2" w14:textId="4D5CADB7" w:rsidR="007950A9" w:rsidRDefault="00C028F2" w:rsidP="00D648AC">
      <w:pPr>
        <w:spacing w:after="0"/>
      </w:pPr>
      <w:r>
        <w:t xml:space="preserve">Pre-ETS </w:t>
      </w:r>
      <w:r w:rsidR="009B1F5D">
        <w:t>will be provided to students with disabilities with records of service on either a Pre-ETS caseload or a VR caseload type in AWARE</w:t>
      </w:r>
      <w:r>
        <w:t>™</w:t>
      </w:r>
      <w:r w:rsidR="009B1F5D">
        <w:t xml:space="preserve">. Provision of services shall be managed as follows, consistent with </w:t>
      </w:r>
      <w:hyperlink r:id="rId29" w:history="1">
        <w:r w:rsidR="009B1F5D" w:rsidRPr="00437CBE">
          <w:rPr>
            <w:rStyle w:val="Hyperlink"/>
          </w:rPr>
          <w:t>Attachment 1700-1</w:t>
        </w:r>
        <w:r w:rsidRPr="00437CBE">
          <w:rPr>
            <w:rStyle w:val="Hyperlink"/>
          </w:rPr>
          <w:t>,</w:t>
        </w:r>
        <w:r w:rsidR="009B1F5D" w:rsidRPr="00437CBE">
          <w:rPr>
            <w:rStyle w:val="Hyperlink"/>
          </w:rPr>
          <w:t xml:space="preserve"> Pre-Employment Transition Services Desk Reference</w:t>
        </w:r>
      </w:hyperlink>
      <w:r w:rsidR="009B1F5D">
        <w:t>.</w:t>
      </w:r>
    </w:p>
    <w:p w14:paraId="4508E23A" w14:textId="77777777" w:rsidR="00C028F2" w:rsidRDefault="00C028F2" w:rsidP="00D648AC">
      <w:pPr>
        <w:spacing w:after="0"/>
      </w:pPr>
    </w:p>
    <w:p w14:paraId="222BC3E9" w14:textId="08AC950D" w:rsidR="007950A9" w:rsidRDefault="009B1F5D" w:rsidP="00D648AC">
      <w:pPr>
        <w:pStyle w:val="Heading3"/>
      </w:pPr>
      <w:bookmarkStart w:id="35" w:name="a170701"/>
      <w:bookmarkStart w:id="36" w:name="_Toc19108534"/>
      <w:bookmarkEnd w:id="35"/>
      <w:r>
        <w:t>1707.01 Provision of Pre-Employment Transition Services Using the Pre-ETS Case Type</w:t>
      </w:r>
      <w:bookmarkEnd w:id="36"/>
    </w:p>
    <w:p w14:paraId="00DBA7FC" w14:textId="77777777" w:rsidR="00C028F2" w:rsidRDefault="00C028F2" w:rsidP="00D648AC">
      <w:pPr>
        <w:spacing w:after="0"/>
        <w:rPr>
          <w:b/>
        </w:rPr>
      </w:pPr>
    </w:p>
    <w:p w14:paraId="3CCB4BD5" w14:textId="625669C3" w:rsidR="009B1F5D" w:rsidRDefault="009B1F5D" w:rsidP="00D648AC">
      <w:pPr>
        <w:spacing w:after="0"/>
      </w:pPr>
      <w:r w:rsidRPr="007950A9">
        <w:rPr>
          <w:b/>
        </w:rPr>
        <w:t>Initiating Pre-ETS Case</w:t>
      </w:r>
      <w:r>
        <w:t xml:space="preserve"> – When all required documentation listed in </w:t>
      </w:r>
      <w:hyperlink w:anchor="_1706_Pre-Employment_Transition" w:history="1">
        <w:r w:rsidRPr="00120F06">
          <w:rPr>
            <w:rStyle w:val="Hyperlink"/>
          </w:rPr>
          <w:t>Section 1706</w:t>
        </w:r>
      </w:hyperlink>
      <w:r>
        <w:t xml:space="preserve"> above is received, DORS staff will:</w:t>
      </w:r>
    </w:p>
    <w:p w14:paraId="05C82B05" w14:textId="77777777" w:rsidR="00C028F2" w:rsidRDefault="00C028F2" w:rsidP="00D648AC">
      <w:pPr>
        <w:spacing w:after="0"/>
      </w:pPr>
    </w:p>
    <w:p w14:paraId="5E28FA53" w14:textId="7840C528" w:rsidR="009B1F5D" w:rsidRDefault="009B1F5D" w:rsidP="00D648AC">
      <w:pPr>
        <w:pStyle w:val="ListParagraph"/>
        <w:numPr>
          <w:ilvl w:val="1"/>
          <w:numId w:val="13"/>
        </w:numPr>
        <w:spacing w:after="0"/>
        <w:ind w:left="720"/>
      </w:pPr>
      <w:r>
        <w:t>Enter student’s information in the AWARE</w:t>
      </w:r>
      <w:r w:rsidR="007950A9">
        <w:t>™</w:t>
      </w:r>
      <w:r>
        <w:t xml:space="preserve"> Participant Module. </w:t>
      </w:r>
    </w:p>
    <w:p w14:paraId="6B270255" w14:textId="77777777" w:rsidR="00C028F2" w:rsidRDefault="00C028F2" w:rsidP="00C028F2">
      <w:pPr>
        <w:pStyle w:val="ListParagraph"/>
        <w:spacing w:after="0"/>
      </w:pPr>
    </w:p>
    <w:p w14:paraId="65183B16" w14:textId="67D87AE7" w:rsidR="009B1F5D" w:rsidRDefault="009B1F5D" w:rsidP="00D648AC">
      <w:pPr>
        <w:pStyle w:val="ListParagraph"/>
        <w:numPr>
          <w:ilvl w:val="1"/>
          <w:numId w:val="13"/>
        </w:numPr>
        <w:spacing w:after="0"/>
        <w:ind w:left="720"/>
      </w:pPr>
      <w:r>
        <w:t>Select the appropriate Special Program Indicator:</w:t>
      </w:r>
    </w:p>
    <w:p w14:paraId="52915FF7" w14:textId="77777777" w:rsidR="00C028F2" w:rsidRDefault="00C028F2" w:rsidP="00C028F2">
      <w:pPr>
        <w:pStyle w:val="ListParagraph"/>
        <w:spacing w:after="0"/>
      </w:pPr>
    </w:p>
    <w:p w14:paraId="6D9F9B46" w14:textId="76EFD4FE" w:rsidR="009B1F5D" w:rsidRDefault="009B1F5D" w:rsidP="00D648AC">
      <w:pPr>
        <w:pStyle w:val="ListParagraph"/>
        <w:numPr>
          <w:ilvl w:val="0"/>
          <w:numId w:val="12"/>
        </w:numPr>
        <w:spacing w:after="0"/>
      </w:pPr>
      <w:r>
        <w:t>If the disability and enrollment documentation IS NOT adequate to verify that the individual is a student with a disability, then the counselor will select “Step 1: Signed Pre-ETS Student Info Form Received”, or</w:t>
      </w:r>
    </w:p>
    <w:p w14:paraId="4D3EC85A" w14:textId="77777777" w:rsidR="00437CBE" w:rsidRDefault="00437CBE" w:rsidP="00437CBE">
      <w:pPr>
        <w:pStyle w:val="ListParagraph"/>
        <w:spacing w:after="0"/>
        <w:ind w:left="1080"/>
      </w:pPr>
    </w:p>
    <w:p w14:paraId="12D7318D" w14:textId="77777777" w:rsidR="00437CBE" w:rsidRDefault="009B1F5D" w:rsidP="00D648AC">
      <w:pPr>
        <w:pStyle w:val="ListParagraph"/>
        <w:numPr>
          <w:ilvl w:val="0"/>
          <w:numId w:val="12"/>
        </w:numPr>
        <w:spacing w:after="0"/>
      </w:pPr>
      <w:r>
        <w:t>If the disability and enrollment documentation IS adequate to verify that the individual is a student with a disability, then the counselor will select “Step 2: Required Qualifying Docs Reviewed</w:t>
      </w:r>
      <w:r w:rsidR="00437CBE">
        <w:t>.</w:t>
      </w:r>
      <w:r>
        <w:t>”</w:t>
      </w:r>
    </w:p>
    <w:p w14:paraId="1F14B5EE" w14:textId="6494A2BF" w:rsidR="009B1F5D" w:rsidRDefault="009B1F5D" w:rsidP="00437CBE">
      <w:pPr>
        <w:pStyle w:val="ListParagraph"/>
        <w:spacing w:after="0"/>
        <w:ind w:left="1080"/>
      </w:pPr>
      <w:r>
        <w:t xml:space="preserve"> </w:t>
      </w:r>
    </w:p>
    <w:p w14:paraId="285C2A45" w14:textId="2F0E3BCC" w:rsidR="007950A9" w:rsidRDefault="009B1F5D" w:rsidP="00D648AC">
      <w:pPr>
        <w:spacing w:after="0"/>
      </w:pPr>
      <w:r>
        <w:lastRenderedPageBreak/>
        <w:t>At this point, AWARE</w:t>
      </w:r>
      <w:r w:rsidR="007950A9">
        <w:t>™</w:t>
      </w:r>
      <w:r>
        <w:t xml:space="preserve"> will generate a 12-digit Unique Identifier for the student, which will be used when reporting Pre-ETS service delivery, as required by federal law.</w:t>
      </w:r>
    </w:p>
    <w:p w14:paraId="35345FE4" w14:textId="77777777" w:rsidR="00437CBE" w:rsidRPr="00437CBE" w:rsidRDefault="00437CBE" w:rsidP="00D648AC">
      <w:pPr>
        <w:spacing w:after="0"/>
      </w:pPr>
    </w:p>
    <w:p w14:paraId="72CE706E" w14:textId="5E2049AA" w:rsidR="007950A9" w:rsidRDefault="009B1F5D" w:rsidP="00D648AC">
      <w:pPr>
        <w:spacing w:after="0"/>
      </w:pPr>
      <w:r w:rsidRPr="007950A9">
        <w:rPr>
          <w:b/>
        </w:rPr>
        <w:t>Initial Pre-ETS Discussion</w:t>
      </w:r>
      <w:r>
        <w:t xml:space="preserve"> – The assigned counselor will make every effort to discuss Pre-ETS with the student within no more than 30 working days of receiving the required documentation of disability and enrollment and the signed </w:t>
      </w:r>
      <w:hyperlink r:id="rId30" w:anchor="rs10b" w:history="1">
        <w:r w:rsidR="00437CBE" w:rsidRPr="00437CBE">
          <w:rPr>
            <w:rStyle w:val="Hyperlink"/>
          </w:rPr>
          <w:t>Pre-ETS Student Information Form (RS-10b)</w:t>
        </w:r>
      </w:hyperlink>
      <w:r>
        <w:t>.</w:t>
      </w:r>
      <w:r w:rsidR="00743523">
        <w:t xml:space="preserve"> </w:t>
      </w:r>
      <w:r>
        <w:t>The counselor will discuss service options with the student, in either an individual or group setting, at the school, the DORS office, or a mutually agreed upon location in the community or via phone conversation as appropriate.</w:t>
      </w:r>
      <w:r w:rsidR="00743523">
        <w:t xml:space="preserve"> </w:t>
      </w:r>
    </w:p>
    <w:p w14:paraId="1C3210B9" w14:textId="77777777" w:rsidR="00437CBE" w:rsidRDefault="00437CBE" w:rsidP="00D648AC">
      <w:pPr>
        <w:spacing w:after="0"/>
      </w:pPr>
    </w:p>
    <w:p w14:paraId="74BC2FB8" w14:textId="5FC3456E" w:rsidR="007950A9" w:rsidRDefault="009B1F5D" w:rsidP="00D648AC">
      <w:pPr>
        <w:spacing w:after="0"/>
      </w:pPr>
      <w:r>
        <w:t>During the initial discussion, the DORS counselor shall:</w:t>
      </w:r>
    </w:p>
    <w:p w14:paraId="47B84466" w14:textId="77777777" w:rsidR="00437CBE" w:rsidRDefault="00437CBE" w:rsidP="00D648AC">
      <w:pPr>
        <w:spacing w:after="0"/>
      </w:pPr>
    </w:p>
    <w:p w14:paraId="1B85A427" w14:textId="614B6992" w:rsidR="009B1F5D" w:rsidRDefault="009B1F5D" w:rsidP="00D648AC">
      <w:pPr>
        <w:pStyle w:val="ListParagraph"/>
        <w:numPr>
          <w:ilvl w:val="0"/>
          <w:numId w:val="14"/>
        </w:numPr>
        <w:spacing w:after="0"/>
        <w:ind w:left="720"/>
      </w:pPr>
      <w:r>
        <w:t>Provide basic job exploration counseling, and document this in AWARE</w:t>
      </w:r>
      <w:r w:rsidR="007950A9">
        <w:t>™</w:t>
      </w:r>
      <w:r>
        <w:t xml:space="preserve"> in an Actual Service record.</w:t>
      </w:r>
    </w:p>
    <w:p w14:paraId="0324E9EE" w14:textId="77777777" w:rsidR="00437CBE" w:rsidRDefault="00437CBE" w:rsidP="00437CBE">
      <w:pPr>
        <w:pStyle w:val="ListParagraph"/>
        <w:spacing w:after="0"/>
      </w:pPr>
    </w:p>
    <w:p w14:paraId="2BC7685B" w14:textId="063651F2" w:rsidR="007950A9" w:rsidRDefault="009B1F5D" w:rsidP="00D648AC">
      <w:pPr>
        <w:pStyle w:val="ListParagraph"/>
        <w:numPr>
          <w:ilvl w:val="0"/>
          <w:numId w:val="14"/>
        </w:numPr>
        <w:spacing w:after="0"/>
        <w:ind w:left="720"/>
      </w:pPr>
      <w:r>
        <w:t xml:space="preserve">Discuss next steps, including identifying additional appropriate </w:t>
      </w:r>
      <w:r w:rsidR="00437CBE">
        <w:t xml:space="preserve">Pre-ETS </w:t>
      </w:r>
      <w:r>
        <w:t xml:space="preserve">and providers, consistent with the student’s informed choice and which may be completed before the student no longer qualifies for </w:t>
      </w:r>
      <w:r w:rsidR="00437CBE">
        <w:t>Pre-ETS</w:t>
      </w:r>
      <w:r>
        <w:t>.</w:t>
      </w:r>
    </w:p>
    <w:p w14:paraId="6CF25F5E" w14:textId="77777777" w:rsidR="00437CBE" w:rsidRDefault="00437CBE" w:rsidP="00437CBE">
      <w:pPr>
        <w:spacing w:after="0"/>
      </w:pPr>
    </w:p>
    <w:p w14:paraId="48C635B4" w14:textId="14BBC2E3" w:rsidR="007950A9" w:rsidRDefault="009B1F5D" w:rsidP="00D648AC">
      <w:pPr>
        <w:spacing w:after="0"/>
      </w:pPr>
      <w:r w:rsidRPr="007950A9">
        <w:rPr>
          <w:b/>
        </w:rPr>
        <w:t>Pre-ETS Agreement Preparation</w:t>
      </w:r>
      <w:r>
        <w:t xml:space="preserve"> – As soon as </w:t>
      </w:r>
      <w:r w:rsidR="00437CBE">
        <w:t xml:space="preserve">Pre-ETS </w:t>
      </w:r>
      <w:r>
        <w:t>and providers are identified, the assigned counselor shall:</w:t>
      </w:r>
    </w:p>
    <w:p w14:paraId="02304C78" w14:textId="77777777" w:rsidR="00437CBE" w:rsidRDefault="00437CBE" w:rsidP="00D648AC">
      <w:pPr>
        <w:spacing w:after="0"/>
      </w:pPr>
    </w:p>
    <w:p w14:paraId="3D3D48FF" w14:textId="53000CF9" w:rsidR="009B1F5D" w:rsidRDefault="009B1F5D" w:rsidP="00D648AC">
      <w:pPr>
        <w:pStyle w:val="ListParagraph"/>
        <w:numPr>
          <w:ilvl w:val="0"/>
          <w:numId w:val="20"/>
        </w:numPr>
        <w:spacing w:after="0"/>
        <w:ind w:left="720"/>
      </w:pPr>
      <w:r>
        <w:t xml:space="preserve">Prepare a </w:t>
      </w:r>
      <w:hyperlink r:id="rId31" w:anchor="rs10c" w:history="1">
        <w:r w:rsidRPr="00120F06">
          <w:rPr>
            <w:rStyle w:val="Hyperlink"/>
          </w:rPr>
          <w:t>Pre-Employment T</w:t>
        </w:r>
        <w:r w:rsidR="00120F06" w:rsidRPr="00120F06">
          <w:rPr>
            <w:rStyle w:val="Hyperlink"/>
          </w:rPr>
          <w:t>ransition Services Agreement (RS</w:t>
        </w:r>
        <w:r w:rsidRPr="00120F06">
          <w:rPr>
            <w:rStyle w:val="Hyperlink"/>
          </w:rPr>
          <w:t>-10c)</w:t>
        </w:r>
      </w:hyperlink>
      <w:r>
        <w:t>, available in AWARE</w:t>
      </w:r>
      <w:r w:rsidR="00120F06">
        <w:t>™</w:t>
      </w:r>
      <w:r>
        <w:t xml:space="preserve"> Letters Catalog and in the </w:t>
      </w:r>
      <w:hyperlink r:id="rId32" w:anchor="rs10c" w:history="1">
        <w:r w:rsidR="00437CBE" w:rsidRPr="00437CBE">
          <w:rPr>
            <w:rStyle w:val="Hyperlink"/>
          </w:rPr>
          <w:t xml:space="preserve">RSM 4 </w:t>
        </w:r>
        <w:r w:rsidRPr="00437CBE">
          <w:rPr>
            <w:rStyle w:val="Hyperlink"/>
          </w:rPr>
          <w:t>Forms Manual</w:t>
        </w:r>
      </w:hyperlink>
      <w:r>
        <w:t>, which:</w:t>
      </w:r>
      <w:r w:rsidR="00437CBE">
        <w:br/>
      </w:r>
    </w:p>
    <w:p w14:paraId="73262990" w14:textId="1834F08B" w:rsidR="009B1F5D" w:rsidRDefault="009B1F5D" w:rsidP="00D648AC">
      <w:pPr>
        <w:pStyle w:val="ListParagraph"/>
        <w:numPr>
          <w:ilvl w:val="0"/>
          <w:numId w:val="16"/>
        </w:numPr>
        <w:spacing w:after="0"/>
      </w:pPr>
      <w:r>
        <w:t>Verifies the student continues to qualify for</w:t>
      </w:r>
      <w:r w:rsidR="00437CBE">
        <w:t xml:space="preserve"> Pre-ETS</w:t>
      </w:r>
      <w:r>
        <w:t>, and</w:t>
      </w:r>
    </w:p>
    <w:p w14:paraId="1A156BBB" w14:textId="503BFF11" w:rsidR="009B1F5D" w:rsidRDefault="009B1F5D" w:rsidP="00D648AC">
      <w:pPr>
        <w:pStyle w:val="ListParagraph"/>
        <w:numPr>
          <w:ilvl w:val="0"/>
          <w:numId w:val="16"/>
        </w:numPr>
        <w:spacing w:after="0"/>
      </w:pPr>
      <w:r>
        <w:t>Lists services, providers, and estimated begin dates.</w:t>
      </w:r>
      <w:r w:rsidR="00437CBE">
        <w:br/>
      </w:r>
    </w:p>
    <w:p w14:paraId="652FD226" w14:textId="1980823B" w:rsidR="007950A9" w:rsidRDefault="009B1F5D" w:rsidP="00437CBE">
      <w:pPr>
        <w:pStyle w:val="ListParagraph"/>
        <w:numPr>
          <w:ilvl w:val="0"/>
          <w:numId w:val="20"/>
        </w:numPr>
        <w:spacing w:after="0"/>
        <w:ind w:left="720"/>
      </w:pPr>
      <w:r>
        <w:t>Select Special Program Indicator: “Step 3: Signed Pre-ETS Agreement” Received (Deselecting Special Program Indicator: “Step 2”)</w:t>
      </w:r>
      <w:r w:rsidR="00437CBE">
        <w:t>.</w:t>
      </w:r>
      <w:r w:rsidR="00437CBE">
        <w:br/>
      </w:r>
    </w:p>
    <w:p w14:paraId="7F6B7659" w14:textId="2E893032" w:rsidR="007950A9" w:rsidRDefault="009B1F5D" w:rsidP="00D648AC">
      <w:pPr>
        <w:spacing w:after="0"/>
      </w:pPr>
      <w:r w:rsidRPr="007950A9">
        <w:rPr>
          <w:b/>
        </w:rPr>
        <w:t>Pre-ETS Agreement Implementation</w:t>
      </w:r>
      <w:r>
        <w:t xml:space="preserve"> – The </w:t>
      </w:r>
      <w:hyperlink r:id="rId33" w:anchor="rs10c" w:history="1">
        <w:r w:rsidR="00437CBE">
          <w:rPr>
            <w:rStyle w:val="Hyperlink"/>
          </w:rPr>
          <w:t>Pre-ETS Agreement (RS-10c)</w:t>
        </w:r>
      </w:hyperlink>
      <w:r>
        <w:t>, signed by student and parent/legal guardian (if student is a minor or in high school), must be received and signed by a DORS representative before future services are authorized. Once all required signatures have been obtained, the assigned counselor shall:</w:t>
      </w:r>
    </w:p>
    <w:p w14:paraId="600AC827" w14:textId="77777777" w:rsidR="00437CBE" w:rsidRDefault="00437CBE" w:rsidP="00D648AC">
      <w:pPr>
        <w:spacing w:after="0"/>
      </w:pPr>
    </w:p>
    <w:p w14:paraId="06C07FC4" w14:textId="3739AA4B" w:rsidR="009B1F5D" w:rsidRDefault="009B1F5D" w:rsidP="00D648AC">
      <w:pPr>
        <w:pStyle w:val="ListParagraph"/>
        <w:numPr>
          <w:ilvl w:val="1"/>
          <w:numId w:val="17"/>
        </w:numPr>
        <w:spacing w:after="0"/>
        <w:ind w:left="720" w:hanging="270"/>
      </w:pPr>
      <w:r>
        <w:t>Provide a copy of the Agreement to the student</w:t>
      </w:r>
      <w:r w:rsidR="00895CC1">
        <w:t xml:space="preserve"> and parent/</w:t>
      </w:r>
      <w:r w:rsidR="000B1821">
        <w:t xml:space="preserve">legal </w:t>
      </w:r>
      <w:r w:rsidR="00895CC1">
        <w:t>guardian</w:t>
      </w:r>
      <w:r>
        <w:t>.</w:t>
      </w:r>
    </w:p>
    <w:p w14:paraId="18AD5FC7" w14:textId="77777777" w:rsidR="00437CBE" w:rsidRDefault="00437CBE" w:rsidP="00437CBE">
      <w:pPr>
        <w:pStyle w:val="ListParagraph"/>
        <w:spacing w:after="0"/>
      </w:pPr>
    </w:p>
    <w:p w14:paraId="21F223C6" w14:textId="4E2A3E69" w:rsidR="009B1F5D" w:rsidRDefault="009B1F5D" w:rsidP="00D648AC">
      <w:pPr>
        <w:pStyle w:val="ListParagraph"/>
        <w:numPr>
          <w:ilvl w:val="1"/>
          <w:numId w:val="17"/>
        </w:numPr>
        <w:spacing w:after="0"/>
        <w:ind w:left="720" w:hanging="270"/>
      </w:pPr>
      <w:r>
        <w:t xml:space="preserve">Provide services in accordance with the </w:t>
      </w:r>
      <w:hyperlink r:id="rId34" w:anchor="rs10c" w:history="1">
        <w:r w:rsidR="00437CBE">
          <w:rPr>
            <w:rStyle w:val="Hyperlink"/>
          </w:rPr>
          <w:t>Pre-ETS Agreement (RS-10c)</w:t>
        </w:r>
      </w:hyperlink>
      <w:r>
        <w:t>.</w:t>
      </w:r>
    </w:p>
    <w:p w14:paraId="4E402671" w14:textId="77777777" w:rsidR="00437CBE" w:rsidRDefault="00437CBE" w:rsidP="00437CBE">
      <w:pPr>
        <w:pStyle w:val="ListParagraph"/>
        <w:spacing w:after="0"/>
      </w:pPr>
    </w:p>
    <w:p w14:paraId="7707114E" w14:textId="09257C36" w:rsidR="007950A9" w:rsidRDefault="009B1F5D" w:rsidP="00D648AC">
      <w:pPr>
        <w:pStyle w:val="ListParagraph"/>
        <w:numPr>
          <w:ilvl w:val="1"/>
          <w:numId w:val="17"/>
        </w:numPr>
        <w:spacing w:after="0"/>
        <w:ind w:left="720" w:hanging="270"/>
      </w:pPr>
      <w:r>
        <w:t>Select Special Program Indicator: “Step 4: Pre-ETS Delivery in Progress” (Deselecting Special Program Indicator: “Step 3”).</w:t>
      </w:r>
    </w:p>
    <w:p w14:paraId="0E0F8C07" w14:textId="77777777" w:rsidR="00437CBE" w:rsidRDefault="00437CBE" w:rsidP="00437CBE">
      <w:pPr>
        <w:pStyle w:val="ListParagraph"/>
        <w:spacing w:after="0"/>
      </w:pPr>
    </w:p>
    <w:p w14:paraId="0685B409" w14:textId="3BBC08B4" w:rsidR="007950A9" w:rsidRDefault="009B1F5D" w:rsidP="00D648AC">
      <w:pPr>
        <w:spacing w:after="0"/>
      </w:pPr>
      <w:r w:rsidRPr="007950A9">
        <w:rPr>
          <w:b/>
        </w:rPr>
        <w:t>Pre-ETS Agreement Continuation</w:t>
      </w:r>
      <w:r>
        <w:t xml:space="preserve"> – As long as the student qualifies to receive </w:t>
      </w:r>
      <w:r w:rsidR="00437CBE">
        <w:t>Pre-ETS</w:t>
      </w:r>
      <w:r>
        <w:t>, the Agreement will be effective and new Agreements may be written, as additional services are identified through ongoing coordination activities with the education providers and other interested parties.</w:t>
      </w:r>
    </w:p>
    <w:p w14:paraId="37A6C259" w14:textId="77777777" w:rsidR="00437CBE" w:rsidRDefault="00437CBE" w:rsidP="00D648AC">
      <w:pPr>
        <w:spacing w:after="0"/>
      </w:pPr>
    </w:p>
    <w:p w14:paraId="74CF3B15" w14:textId="687DD116" w:rsidR="007950A9" w:rsidRDefault="009B1F5D" w:rsidP="00D648AC">
      <w:pPr>
        <w:pStyle w:val="Heading3"/>
      </w:pPr>
      <w:bookmarkStart w:id="37" w:name="a170702"/>
      <w:bookmarkStart w:id="38" w:name="_Toc19108535"/>
      <w:bookmarkEnd w:id="37"/>
      <w:r>
        <w:t>1707.02 Provision of Pre-Employment Transition Services Using the VR Case Type</w:t>
      </w:r>
      <w:bookmarkEnd w:id="38"/>
    </w:p>
    <w:p w14:paraId="137AABD3" w14:textId="77777777" w:rsidR="00437CBE" w:rsidRDefault="00437CBE" w:rsidP="00D648AC">
      <w:pPr>
        <w:spacing w:after="0"/>
      </w:pPr>
    </w:p>
    <w:p w14:paraId="3CCEF874" w14:textId="1D32002A" w:rsidR="009B1F5D" w:rsidRDefault="009B1F5D" w:rsidP="00D648AC">
      <w:pPr>
        <w:spacing w:after="0"/>
      </w:pPr>
      <w:r>
        <w:t xml:space="preserve">When a student with a disability has an </w:t>
      </w:r>
      <w:hyperlink r:id="rId35" w:anchor="rs6h" w:history="1">
        <w:r w:rsidR="00437CBE" w:rsidRPr="00C028F2">
          <w:rPr>
            <w:rStyle w:val="Hyperlink"/>
          </w:rPr>
          <w:t>Individualized Plan for Employment (RS-6h)</w:t>
        </w:r>
      </w:hyperlink>
      <w:r>
        <w:t xml:space="preserve">, provision of </w:t>
      </w:r>
      <w:r w:rsidR="00437CBE">
        <w:t xml:space="preserve">Pre-ETS </w:t>
      </w:r>
      <w:r>
        <w:t xml:space="preserve">will be included on the </w:t>
      </w:r>
      <w:hyperlink r:id="rId36" w:anchor="rs6h" w:history="1">
        <w:r w:rsidR="00437CBE" w:rsidRPr="00C028F2">
          <w:rPr>
            <w:rStyle w:val="Hyperlink"/>
          </w:rPr>
          <w:t>Individualized Plan for Employment (RS-6h)</w:t>
        </w:r>
      </w:hyperlink>
      <w:r w:rsidR="00437CBE">
        <w:t xml:space="preserve"> </w:t>
      </w:r>
      <w:r>
        <w:t xml:space="preserve">(see </w:t>
      </w:r>
      <w:hyperlink r:id="rId37" w:history="1">
        <w:r w:rsidRPr="00120F06">
          <w:rPr>
            <w:rStyle w:val="Hyperlink"/>
          </w:rPr>
          <w:t>Section 600</w:t>
        </w:r>
      </w:hyperlink>
      <w:r>
        <w:t>).</w:t>
      </w:r>
    </w:p>
    <w:p w14:paraId="6F4372BC" w14:textId="77777777" w:rsidR="00437CBE" w:rsidRDefault="00437CBE" w:rsidP="00D648AC">
      <w:pPr>
        <w:spacing w:after="0"/>
      </w:pPr>
    </w:p>
    <w:p w14:paraId="4D1A9D99" w14:textId="0EB3101E" w:rsidR="007950A9" w:rsidRPr="00437CBE" w:rsidRDefault="009B1F5D" w:rsidP="00437CBE">
      <w:pPr>
        <w:pStyle w:val="Heading2"/>
      </w:pPr>
      <w:bookmarkStart w:id="39" w:name="a1708"/>
      <w:bookmarkStart w:id="40" w:name="_Toc19108536"/>
      <w:bookmarkEnd w:id="39"/>
      <w:r w:rsidRPr="00437CBE">
        <w:lastRenderedPageBreak/>
        <w:t>1708 Initiating Vocational Rehabilitation Services After Beginning Pre-Employment Transition Services</w:t>
      </w:r>
      <w:bookmarkEnd w:id="40"/>
    </w:p>
    <w:p w14:paraId="223D1E95" w14:textId="77777777" w:rsidR="00437CBE" w:rsidRDefault="00437CBE" w:rsidP="00D648AC">
      <w:pPr>
        <w:spacing w:after="0"/>
      </w:pPr>
    </w:p>
    <w:p w14:paraId="0FB33711" w14:textId="6374E3BE" w:rsidR="009B1F5D" w:rsidRDefault="009B1F5D" w:rsidP="00D648AC">
      <w:pPr>
        <w:spacing w:after="0"/>
      </w:pPr>
      <w:r>
        <w:t xml:space="preserve">Students with disabilities are not required to apply </w:t>
      </w:r>
      <w:r w:rsidR="00895CC1">
        <w:t xml:space="preserve">or be determined eligible </w:t>
      </w:r>
      <w:r>
        <w:t xml:space="preserve">for </w:t>
      </w:r>
      <w:r w:rsidR="00437CBE">
        <w:t xml:space="preserve">VR </w:t>
      </w:r>
      <w:r>
        <w:t xml:space="preserve">services before receiving </w:t>
      </w:r>
      <w:r w:rsidR="00437CBE">
        <w:t>Pre-ETS</w:t>
      </w:r>
      <w:r>
        <w:t xml:space="preserve">. Students who have provided adequate documentation of their disability and enrollment in a recognized education program shall not have their participation in </w:t>
      </w:r>
      <w:r w:rsidR="00437CBE">
        <w:t xml:space="preserve">Pre-ETS </w:t>
      </w:r>
      <w:r>
        <w:t xml:space="preserve">delayed by the process of applying for </w:t>
      </w:r>
      <w:r w:rsidR="00437CBE">
        <w:t xml:space="preserve">VR </w:t>
      </w:r>
      <w:r>
        <w:t xml:space="preserve">services. Students assigned DORS counselors will discuss </w:t>
      </w:r>
      <w:r w:rsidR="00437CBE">
        <w:t xml:space="preserve">VR </w:t>
      </w:r>
      <w:r>
        <w:t xml:space="preserve">services with them and their parent/legal guardian, and encourage interested students to apply by the time they have two years remaining in high school to facilitate a smooth transition into </w:t>
      </w:r>
      <w:r w:rsidR="00437CBE">
        <w:t xml:space="preserve">VR </w:t>
      </w:r>
      <w:r>
        <w:t>services.</w:t>
      </w:r>
    </w:p>
    <w:p w14:paraId="1651E417" w14:textId="77777777" w:rsidR="00437CBE" w:rsidRDefault="00437CBE" w:rsidP="00D648AC">
      <w:pPr>
        <w:spacing w:after="0"/>
      </w:pPr>
    </w:p>
    <w:p w14:paraId="60F04F1B" w14:textId="71555C40" w:rsidR="009B1F5D" w:rsidRDefault="009B1F5D" w:rsidP="00D648AC">
      <w:pPr>
        <w:spacing w:after="0"/>
      </w:pPr>
      <w:r>
        <w:t xml:space="preserve">Students who do not apply for </w:t>
      </w:r>
      <w:r w:rsidR="00437CBE">
        <w:t xml:space="preserve">VR </w:t>
      </w:r>
      <w:r>
        <w:t xml:space="preserve">services may continue to receive </w:t>
      </w:r>
      <w:r w:rsidR="00437CBE">
        <w:t xml:space="preserve">Pre-ETS </w:t>
      </w:r>
      <w:r>
        <w:t>under the Pre-ETS case type as long as they continue to satisfy the definition of a “</w:t>
      </w:r>
      <w:hyperlink w:anchor="SwaD" w:history="1">
        <w:r w:rsidRPr="00313AD2">
          <w:rPr>
            <w:rStyle w:val="Hyperlink"/>
          </w:rPr>
          <w:t>student with a disability</w:t>
        </w:r>
      </w:hyperlink>
      <w:r>
        <w:t>."</w:t>
      </w:r>
    </w:p>
    <w:p w14:paraId="4D25C483" w14:textId="77777777" w:rsidR="00437CBE" w:rsidRDefault="00437CBE" w:rsidP="00D648AC">
      <w:pPr>
        <w:spacing w:after="0"/>
      </w:pPr>
    </w:p>
    <w:p w14:paraId="2C35DF43" w14:textId="5D9DD089" w:rsidR="00313AD2" w:rsidRDefault="009B1F5D" w:rsidP="00D648AC">
      <w:pPr>
        <w:spacing w:after="0"/>
      </w:pPr>
      <w:r>
        <w:t xml:space="preserve">Students who apply and are determined eligible for </w:t>
      </w:r>
      <w:r w:rsidR="00437CBE">
        <w:t xml:space="preserve">VR </w:t>
      </w:r>
      <w:r>
        <w:t xml:space="preserve">services with be assigned to an Order of Selection category (see </w:t>
      </w:r>
      <w:hyperlink r:id="rId38" w:anchor="a50306" w:history="1">
        <w:r w:rsidRPr="00120F06">
          <w:rPr>
            <w:rStyle w:val="Hyperlink"/>
          </w:rPr>
          <w:t>Section 503.06</w:t>
        </w:r>
      </w:hyperlink>
      <w:r>
        <w:t xml:space="preserve">). </w:t>
      </w:r>
    </w:p>
    <w:p w14:paraId="0A56047E" w14:textId="77777777" w:rsidR="00437CBE" w:rsidRDefault="00437CBE" w:rsidP="00D648AC">
      <w:pPr>
        <w:spacing w:after="0"/>
      </w:pPr>
    </w:p>
    <w:p w14:paraId="29C2E95A" w14:textId="7DCDF8EE" w:rsidR="00313AD2" w:rsidRDefault="009B1F5D" w:rsidP="00D648AC">
      <w:pPr>
        <w:pStyle w:val="Heading3"/>
      </w:pPr>
      <w:bookmarkStart w:id="41" w:name="a170801"/>
      <w:bookmarkStart w:id="42" w:name="_Toc19108537"/>
      <w:bookmarkEnd w:id="41"/>
      <w:r>
        <w:t>1708.01 Assignment to an Open Order of Selection Category</w:t>
      </w:r>
      <w:bookmarkEnd w:id="42"/>
    </w:p>
    <w:p w14:paraId="20F71EC1" w14:textId="77777777" w:rsidR="00437CBE" w:rsidRDefault="00437CBE" w:rsidP="00D648AC">
      <w:pPr>
        <w:spacing w:after="0"/>
      </w:pPr>
    </w:p>
    <w:p w14:paraId="357EFDA2" w14:textId="47177A73" w:rsidR="00313AD2" w:rsidRDefault="009B1F5D" w:rsidP="00D648AC">
      <w:pPr>
        <w:spacing w:after="0"/>
      </w:pPr>
      <w:r>
        <w:t xml:space="preserve">Eligible students assigned to an open order of selection category may have </w:t>
      </w:r>
      <w:r w:rsidR="00437CBE">
        <w:t xml:space="preserve">Pre-ETS </w:t>
      </w:r>
      <w:r>
        <w:t xml:space="preserve">included on the </w:t>
      </w:r>
      <w:hyperlink r:id="rId39" w:anchor="rs6h" w:history="1">
        <w:r w:rsidR="00437CBE" w:rsidRPr="00C028F2">
          <w:rPr>
            <w:rStyle w:val="Hyperlink"/>
          </w:rPr>
          <w:t>Individualized Plan for Employment (RS-6h)</w:t>
        </w:r>
      </w:hyperlink>
      <w:r>
        <w:t xml:space="preserve"> and provided for as long as the individual continues to meet the definition of a “</w:t>
      </w:r>
      <w:hyperlink w:anchor="SwaD" w:history="1">
        <w:r w:rsidR="00313AD2" w:rsidRPr="00313AD2">
          <w:rPr>
            <w:rStyle w:val="Hyperlink"/>
          </w:rPr>
          <w:t>student with a disability</w:t>
        </w:r>
      </w:hyperlink>
      <w:r>
        <w:t>.”</w:t>
      </w:r>
    </w:p>
    <w:p w14:paraId="250D0EDA" w14:textId="77777777" w:rsidR="00437CBE" w:rsidRDefault="00437CBE" w:rsidP="00D648AC">
      <w:pPr>
        <w:spacing w:after="0"/>
      </w:pPr>
    </w:p>
    <w:p w14:paraId="63D504D2" w14:textId="75038017" w:rsidR="00313AD2" w:rsidRDefault="009B1F5D" w:rsidP="00D648AC">
      <w:pPr>
        <w:spacing w:after="0"/>
      </w:pPr>
      <w:r>
        <w:t xml:space="preserve">If a student is ready to participate in </w:t>
      </w:r>
      <w:r w:rsidR="00437CBE">
        <w:t xml:space="preserve">Pre-ETS </w:t>
      </w:r>
      <w:r>
        <w:t xml:space="preserve">and is not yet ready to identify a vocational goal on the </w:t>
      </w:r>
      <w:hyperlink r:id="rId40" w:anchor="rs6h" w:history="1">
        <w:r w:rsidR="00437CBE" w:rsidRPr="00C028F2">
          <w:rPr>
            <w:rStyle w:val="Hyperlink"/>
          </w:rPr>
          <w:t>Individualized Plan for Employment (RS-6h)</w:t>
        </w:r>
      </w:hyperlink>
      <w:r>
        <w:t>, enter a projected post-high school goal in the “Custom” field on the Plan, then select “Projected Post-Hi</w:t>
      </w:r>
      <w:r w:rsidR="00437CBE">
        <w:t>gh School Goal in Custom Field-</w:t>
      </w:r>
      <w:r>
        <w:t>Only Pre-ETS Services Provided” from the job title mini-search. This will print on the plan with the projected goal entered in the custom field along with the statement “Projected Employment Goal Shown Above</w:t>
      </w:r>
      <w:r w:rsidR="00437CBE">
        <w:t>.</w:t>
      </w:r>
      <w:r>
        <w:t>” The purpose of the services on this Plan will be to support the student in developing and refining a vocational goal. The plan must be revised to indicate a specific vocational goal once the career development process is complete.</w:t>
      </w:r>
    </w:p>
    <w:p w14:paraId="7863E81E" w14:textId="77777777" w:rsidR="00437CBE" w:rsidRDefault="00437CBE" w:rsidP="00D648AC">
      <w:pPr>
        <w:spacing w:after="0"/>
      </w:pPr>
    </w:p>
    <w:p w14:paraId="7E26C560" w14:textId="404F1D1B" w:rsidR="00313AD2" w:rsidRDefault="009B1F5D" w:rsidP="00D648AC">
      <w:pPr>
        <w:pStyle w:val="Heading3"/>
      </w:pPr>
      <w:bookmarkStart w:id="43" w:name="a170802"/>
      <w:bookmarkStart w:id="44" w:name="_Toc19108538"/>
      <w:bookmarkEnd w:id="43"/>
      <w:r>
        <w:t>1708.02 Assignment to a Closed Order of Selection Category</w:t>
      </w:r>
      <w:bookmarkEnd w:id="44"/>
    </w:p>
    <w:p w14:paraId="2BCCC2AE" w14:textId="77777777" w:rsidR="00437CBE" w:rsidRDefault="00437CBE" w:rsidP="00D648AC">
      <w:pPr>
        <w:keepNext/>
        <w:spacing w:after="0"/>
      </w:pPr>
    </w:p>
    <w:p w14:paraId="3B193A6F" w14:textId="23F8E9A7" w:rsidR="009B1F5D" w:rsidRDefault="009B1F5D" w:rsidP="00D648AC">
      <w:pPr>
        <w:keepNext/>
        <w:spacing w:after="0"/>
      </w:pPr>
      <w:r>
        <w:t xml:space="preserve">Eligible students assigned to a closed order of selection category and placed on a waiting list for </w:t>
      </w:r>
      <w:r w:rsidR="00437CBE">
        <w:t xml:space="preserve">VR services </w:t>
      </w:r>
      <w:r>
        <w:t xml:space="preserve">after receiving </w:t>
      </w:r>
      <w:r w:rsidR="00437CBE">
        <w:t xml:space="preserve">Pre-ETS </w:t>
      </w:r>
      <w:r>
        <w:t xml:space="preserve">may continue to receive </w:t>
      </w:r>
      <w:r w:rsidR="00437CBE">
        <w:t xml:space="preserve">Pre-ETS </w:t>
      </w:r>
      <w:r>
        <w:t>using the Pre-ETS case type.</w:t>
      </w:r>
    </w:p>
    <w:p w14:paraId="1F286E22" w14:textId="77777777" w:rsidR="00437CBE" w:rsidRDefault="00437CBE" w:rsidP="00D648AC">
      <w:pPr>
        <w:spacing w:after="0"/>
      </w:pPr>
    </w:p>
    <w:p w14:paraId="1EEC144C" w14:textId="6A7AE899" w:rsidR="009B1F5D" w:rsidRDefault="009B1F5D" w:rsidP="00D648AC">
      <w:pPr>
        <w:spacing w:after="0"/>
      </w:pPr>
      <w:r>
        <w:t xml:space="preserve">Eligible students assigned to a closed order of selection category and placed on a waiting list for </w:t>
      </w:r>
      <w:r w:rsidR="00437CBE">
        <w:t xml:space="preserve">VR service </w:t>
      </w:r>
      <w:r>
        <w:t xml:space="preserve">before receiving </w:t>
      </w:r>
      <w:r w:rsidR="00437CBE">
        <w:t xml:space="preserve">Pre-ETS </w:t>
      </w:r>
      <w:r>
        <w:t xml:space="preserve">may not receive </w:t>
      </w:r>
      <w:r w:rsidR="00437CBE">
        <w:t xml:space="preserve">Pre-ETS </w:t>
      </w:r>
      <w:r>
        <w:t xml:space="preserve">using the Pre-ETS case type. These students will be required to wait for </w:t>
      </w:r>
      <w:r w:rsidR="00BB4FAD">
        <w:t xml:space="preserve">Pre-ETS </w:t>
      </w:r>
      <w:r>
        <w:t xml:space="preserve">until they are removed from the waiting list and an </w:t>
      </w:r>
      <w:hyperlink r:id="rId41" w:anchor="rs6h" w:history="1">
        <w:r w:rsidR="00BB4FAD" w:rsidRPr="00C028F2">
          <w:rPr>
            <w:rStyle w:val="Hyperlink"/>
          </w:rPr>
          <w:t>Individualized Plan for Employment (RS-6h)</w:t>
        </w:r>
      </w:hyperlink>
      <w:r w:rsidR="00BB4FAD">
        <w:t xml:space="preserve"> </w:t>
      </w:r>
      <w:r>
        <w:t>can be developed.</w:t>
      </w:r>
    </w:p>
    <w:p w14:paraId="341990EE" w14:textId="77777777" w:rsidR="00BB4FAD" w:rsidRDefault="00BB4FAD" w:rsidP="00D648AC">
      <w:pPr>
        <w:spacing w:after="0"/>
      </w:pPr>
    </w:p>
    <w:p w14:paraId="4FF0C037" w14:textId="6FABC24C" w:rsidR="00313AD2" w:rsidRDefault="009B1F5D" w:rsidP="00743523">
      <w:pPr>
        <w:pStyle w:val="Heading2"/>
      </w:pPr>
      <w:bookmarkStart w:id="45" w:name="a1709"/>
      <w:bookmarkStart w:id="46" w:name="_Toc19108539"/>
      <w:bookmarkEnd w:id="45"/>
      <w:r>
        <w:t>1709 Financial Responsibility for Pre-Employment Transition Services Participation</w:t>
      </w:r>
      <w:bookmarkEnd w:id="46"/>
    </w:p>
    <w:p w14:paraId="083A2A2D" w14:textId="77777777" w:rsidR="00BB4FAD" w:rsidRDefault="00BB4FAD" w:rsidP="00743523">
      <w:pPr>
        <w:keepNext/>
        <w:spacing w:after="0"/>
      </w:pPr>
      <w:bookmarkStart w:id="47" w:name="a170901"/>
      <w:bookmarkEnd w:id="47"/>
    </w:p>
    <w:p w14:paraId="6AECAFEC" w14:textId="2B49D472" w:rsidR="00313AD2" w:rsidRDefault="009B1F5D" w:rsidP="00743523">
      <w:pPr>
        <w:pStyle w:val="Heading3"/>
        <w:keepNext/>
      </w:pPr>
      <w:bookmarkStart w:id="48" w:name="_Toc19108540"/>
      <w:r>
        <w:t>1709.01 Financial Responsibility Using the Pre-ETS Case Type</w:t>
      </w:r>
      <w:bookmarkEnd w:id="48"/>
    </w:p>
    <w:p w14:paraId="3A70A5BD" w14:textId="77777777" w:rsidR="00BB4FAD" w:rsidRDefault="00BB4FAD" w:rsidP="00743523">
      <w:pPr>
        <w:keepNext/>
        <w:spacing w:after="0"/>
      </w:pPr>
    </w:p>
    <w:p w14:paraId="1525DBE3" w14:textId="686EE4B6" w:rsidR="00313AD2" w:rsidRDefault="009B1F5D" w:rsidP="00D648AC">
      <w:pPr>
        <w:spacing w:after="0"/>
      </w:pPr>
      <w:r>
        <w:t xml:space="preserve">The Division’s financial need policy </w:t>
      </w:r>
      <w:r w:rsidR="00BB4FAD">
        <w:t>(</w:t>
      </w:r>
      <w:hyperlink r:id="rId42" w:history="1">
        <w:r w:rsidR="00BB4FAD" w:rsidRPr="00BB4FAD">
          <w:rPr>
            <w:rStyle w:val="Hyperlink"/>
          </w:rPr>
          <w:t>RSM 3, Section 1400</w:t>
        </w:r>
      </w:hyperlink>
      <w:r w:rsidR="00BB4FAD">
        <w:t xml:space="preserve">) </w:t>
      </w:r>
      <w:r>
        <w:t xml:space="preserve">and the possibility of a family contribution will not apply when the student participates in </w:t>
      </w:r>
      <w:r w:rsidR="00BB4FAD">
        <w:t xml:space="preserve">Pre-ETS </w:t>
      </w:r>
      <w:r>
        <w:t xml:space="preserve">or when the student requires reasonable accommodations/auxiliary aids and other necessary support services (see </w:t>
      </w:r>
      <w:hyperlink w:anchor="_1703.01_Reasonable_Accommodation/Au" w:history="1">
        <w:r w:rsidRPr="00313AD2">
          <w:rPr>
            <w:rStyle w:val="Hyperlink"/>
          </w:rPr>
          <w:t>Section 1703.01</w:t>
        </w:r>
      </w:hyperlink>
      <w:r>
        <w:t>) to participate.</w:t>
      </w:r>
    </w:p>
    <w:p w14:paraId="01490C89" w14:textId="77777777" w:rsidR="00BB4FAD" w:rsidRDefault="00BB4FAD" w:rsidP="00D648AC">
      <w:pPr>
        <w:spacing w:after="0"/>
      </w:pPr>
    </w:p>
    <w:p w14:paraId="5776627F" w14:textId="116490DB" w:rsidR="009B1F5D" w:rsidRDefault="009B1F5D" w:rsidP="00743523">
      <w:pPr>
        <w:pStyle w:val="Heading3"/>
        <w:keepNext/>
      </w:pPr>
      <w:bookmarkStart w:id="49" w:name="a170902"/>
      <w:bookmarkStart w:id="50" w:name="_Toc19108541"/>
      <w:bookmarkEnd w:id="49"/>
      <w:r>
        <w:lastRenderedPageBreak/>
        <w:t>1709.02 Financial Responsibility Using the VR Case Type</w:t>
      </w:r>
      <w:bookmarkEnd w:id="50"/>
    </w:p>
    <w:p w14:paraId="6A72A541" w14:textId="77777777" w:rsidR="00BB4FAD" w:rsidRDefault="00BB4FAD" w:rsidP="00743523">
      <w:pPr>
        <w:keepNext/>
        <w:spacing w:after="0"/>
      </w:pPr>
    </w:p>
    <w:p w14:paraId="631504FF" w14:textId="31505FF6" w:rsidR="009B1F5D" w:rsidRDefault="009B1F5D" w:rsidP="00D648AC">
      <w:pPr>
        <w:spacing w:after="0"/>
      </w:pPr>
      <w:r>
        <w:t xml:space="preserve">When </w:t>
      </w:r>
      <w:r w:rsidR="00BB4FAD">
        <w:t>Pre-ETS or reasonable accommodation/</w:t>
      </w:r>
      <w:r>
        <w:t xml:space="preserve">auxiliary aids and services as described in </w:t>
      </w:r>
      <w:hyperlink w:anchor="_1703.01_Reasonable_Accommodation/Au" w:history="1">
        <w:r w:rsidR="00313AD2" w:rsidRPr="00313AD2">
          <w:rPr>
            <w:rStyle w:val="Hyperlink"/>
          </w:rPr>
          <w:t>Section 1703.01</w:t>
        </w:r>
      </w:hyperlink>
      <w:r>
        <w:t xml:space="preserve"> are included in the </w:t>
      </w:r>
      <w:hyperlink r:id="rId43" w:anchor="rs6h" w:history="1">
        <w:r w:rsidR="00BB4FAD" w:rsidRPr="00C028F2">
          <w:rPr>
            <w:rStyle w:val="Hyperlink"/>
          </w:rPr>
          <w:t>Individualized Plan for Employment (RS-6h)</w:t>
        </w:r>
      </w:hyperlink>
      <w:r>
        <w:t xml:space="preserve">, the Division's financial need policy </w:t>
      </w:r>
      <w:r w:rsidR="00BB4FAD">
        <w:t>(</w:t>
      </w:r>
      <w:hyperlink r:id="rId44" w:history="1">
        <w:r w:rsidR="00BB4FAD" w:rsidRPr="00BB4FAD">
          <w:rPr>
            <w:rStyle w:val="Hyperlink"/>
          </w:rPr>
          <w:t>RSM 3, Section 1400</w:t>
        </w:r>
      </w:hyperlink>
      <w:r w:rsidR="00BB4FAD">
        <w:t xml:space="preserve">) </w:t>
      </w:r>
      <w:r>
        <w:t>and the possibility of a family contribution does not apply to the provision of those services. However, the Division’s financial need policy and the possibility of a family contribution does apply to all other services included on the IPE.</w:t>
      </w:r>
    </w:p>
    <w:p w14:paraId="737E2825" w14:textId="77777777" w:rsidR="00BB4FAD" w:rsidRDefault="00BB4FAD" w:rsidP="00D648AC">
      <w:pPr>
        <w:spacing w:after="0"/>
      </w:pPr>
    </w:p>
    <w:p w14:paraId="082CF326" w14:textId="69146343" w:rsidR="00313AD2" w:rsidRPr="00BB4FAD" w:rsidRDefault="009B1F5D" w:rsidP="00BB4FAD">
      <w:pPr>
        <w:pStyle w:val="Heading2"/>
      </w:pPr>
      <w:bookmarkStart w:id="51" w:name="a1710"/>
      <w:bookmarkStart w:id="52" w:name="_Toc19108542"/>
      <w:bookmarkEnd w:id="51"/>
      <w:r w:rsidRPr="00BB4FAD">
        <w:t>1710 Discontinuation of Pre-Employment Transitioning Services and/or Closure of Service Records</w:t>
      </w:r>
      <w:bookmarkEnd w:id="52"/>
    </w:p>
    <w:p w14:paraId="49D71418" w14:textId="77777777" w:rsidR="00BB4FAD" w:rsidRDefault="00BB4FAD" w:rsidP="00BB4FAD">
      <w:pPr>
        <w:spacing w:after="0"/>
      </w:pPr>
      <w:bookmarkStart w:id="53" w:name="a171001"/>
      <w:bookmarkEnd w:id="53"/>
    </w:p>
    <w:p w14:paraId="601DA459" w14:textId="77777777" w:rsidR="009B1F5D" w:rsidRDefault="009B1F5D" w:rsidP="00D648AC">
      <w:pPr>
        <w:pStyle w:val="Heading3"/>
      </w:pPr>
      <w:bookmarkStart w:id="54" w:name="_Toc19108543"/>
      <w:r>
        <w:t>1710.01 Discontinuation of Services</w:t>
      </w:r>
      <w:bookmarkEnd w:id="54"/>
    </w:p>
    <w:p w14:paraId="2412B991" w14:textId="77777777" w:rsidR="00BB4FAD" w:rsidRDefault="00BB4FAD" w:rsidP="00D648AC">
      <w:pPr>
        <w:spacing w:after="0"/>
      </w:pPr>
    </w:p>
    <w:p w14:paraId="3F78A576" w14:textId="3D5B4BA1" w:rsidR="00313AD2" w:rsidRDefault="00BB4FAD" w:rsidP="00D648AC">
      <w:pPr>
        <w:spacing w:after="0"/>
      </w:pPr>
      <w:r>
        <w:t>Pre-ETS</w:t>
      </w:r>
      <w:r w:rsidR="009B1F5D">
        <w:t xml:space="preserve"> shall be discontinued once an individual no longer satisfies the definition of a “</w:t>
      </w:r>
      <w:hyperlink w:anchor="SwaD" w:history="1">
        <w:r w:rsidR="00313AD2" w:rsidRPr="00313AD2">
          <w:rPr>
            <w:rStyle w:val="Hyperlink"/>
          </w:rPr>
          <w:t>student with a disability</w:t>
        </w:r>
      </w:hyperlink>
      <w:r w:rsidR="009B1F5D">
        <w:t xml:space="preserve">,” regardless of whether those services were being provided consistent with a Pre-ETS Agreement or an </w:t>
      </w:r>
      <w:hyperlink r:id="rId45" w:anchor="rs6h" w:history="1">
        <w:r w:rsidRPr="00C028F2">
          <w:rPr>
            <w:rStyle w:val="Hyperlink"/>
          </w:rPr>
          <w:t>Individualized Plan for Employment (RS-6h)</w:t>
        </w:r>
      </w:hyperlink>
      <w:r w:rsidR="009B1F5D">
        <w:t>.</w:t>
      </w:r>
    </w:p>
    <w:p w14:paraId="67CE44EA" w14:textId="77777777" w:rsidR="00BB4FAD" w:rsidRDefault="00BB4FAD" w:rsidP="00D648AC">
      <w:pPr>
        <w:spacing w:after="0"/>
      </w:pPr>
    </w:p>
    <w:p w14:paraId="1270839A" w14:textId="43CB2015" w:rsidR="00313AD2" w:rsidRDefault="009B1F5D" w:rsidP="00D648AC">
      <w:pPr>
        <w:spacing w:after="0"/>
        <w:rPr>
          <w:b/>
        </w:rPr>
      </w:pPr>
      <w:r w:rsidRPr="00645F30">
        <w:rPr>
          <w:b/>
        </w:rPr>
        <w:t>Pre-ETS Case Type:</w:t>
      </w:r>
    </w:p>
    <w:p w14:paraId="69DC6E34" w14:textId="77777777" w:rsidR="00BB4FAD" w:rsidRPr="00645F30" w:rsidRDefault="00BB4FAD" w:rsidP="00D648AC">
      <w:pPr>
        <w:spacing w:after="0"/>
        <w:rPr>
          <w:b/>
        </w:rPr>
      </w:pPr>
    </w:p>
    <w:p w14:paraId="5499711D" w14:textId="629A8F82" w:rsidR="009B1F5D" w:rsidRDefault="009B1F5D" w:rsidP="00D648AC">
      <w:pPr>
        <w:pStyle w:val="ListParagraph"/>
        <w:numPr>
          <w:ilvl w:val="1"/>
          <w:numId w:val="18"/>
        </w:numPr>
        <w:spacing w:after="0"/>
        <w:ind w:left="720"/>
      </w:pPr>
      <w:r>
        <w:t>At the time of service discontinuation, the DORS counselor or DORS manager should make every attempt to contact the individual to notify them.</w:t>
      </w:r>
    </w:p>
    <w:p w14:paraId="487CACCA" w14:textId="77777777" w:rsidR="00BB4FAD" w:rsidRDefault="00BB4FAD" w:rsidP="00BB4FAD">
      <w:pPr>
        <w:pStyle w:val="ListParagraph"/>
        <w:spacing w:after="0"/>
      </w:pPr>
    </w:p>
    <w:p w14:paraId="1D9559D4" w14:textId="5E804BCF" w:rsidR="009B1F5D" w:rsidRDefault="009B1F5D" w:rsidP="00D648AC">
      <w:pPr>
        <w:pStyle w:val="ListParagraph"/>
        <w:numPr>
          <w:ilvl w:val="1"/>
          <w:numId w:val="18"/>
        </w:numPr>
        <w:spacing w:after="0"/>
        <w:ind w:left="720"/>
      </w:pPr>
      <w:r>
        <w:t>Documentation of discontinuation of services should be provided through the appropriate DORS discontinuation letter.</w:t>
      </w:r>
    </w:p>
    <w:p w14:paraId="71FD8A6F" w14:textId="77777777" w:rsidR="00BB4FAD" w:rsidRDefault="00BB4FAD" w:rsidP="00BB4FAD">
      <w:pPr>
        <w:pStyle w:val="ListParagraph"/>
        <w:spacing w:after="0"/>
      </w:pPr>
    </w:p>
    <w:p w14:paraId="6A1C8197" w14:textId="6A9A9E4B" w:rsidR="00313AD2" w:rsidRDefault="009B1F5D" w:rsidP="00D648AC">
      <w:pPr>
        <w:pStyle w:val="ListParagraph"/>
        <w:numPr>
          <w:ilvl w:val="1"/>
          <w:numId w:val="18"/>
        </w:numPr>
        <w:spacing w:after="0"/>
        <w:ind w:left="720"/>
      </w:pPr>
      <w:r>
        <w:t>The record of services shall be closed in AWARE</w:t>
      </w:r>
      <w:r w:rsidR="00BB4FAD">
        <w:t>™</w:t>
      </w:r>
      <w:r>
        <w:t xml:space="preserve"> when services have been discontinued.</w:t>
      </w:r>
    </w:p>
    <w:p w14:paraId="48B78494" w14:textId="77777777" w:rsidR="00BB4FAD" w:rsidRDefault="00BB4FAD" w:rsidP="00BB4FAD">
      <w:pPr>
        <w:spacing w:after="0"/>
      </w:pPr>
    </w:p>
    <w:p w14:paraId="362D3A4C" w14:textId="4661F678" w:rsidR="00313AD2" w:rsidRDefault="009B1F5D" w:rsidP="00D648AC">
      <w:pPr>
        <w:spacing w:after="0"/>
      </w:pPr>
      <w:r w:rsidRPr="00313AD2">
        <w:rPr>
          <w:b/>
        </w:rPr>
        <w:t>VR Case Type</w:t>
      </w:r>
      <w:r>
        <w:t xml:space="preserve"> – </w:t>
      </w:r>
      <w:r w:rsidR="00BB4FAD">
        <w:t xml:space="preserve">Pre-ETS </w:t>
      </w:r>
      <w:r>
        <w:t xml:space="preserve">shall cease to be provided under an </w:t>
      </w:r>
      <w:hyperlink r:id="rId46" w:anchor="rs6h" w:history="1">
        <w:r w:rsidR="00BB4FAD" w:rsidRPr="00C028F2">
          <w:rPr>
            <w:rStyle w:val="Hyperlink"/>
          </w:rPr>
          <w:t>Individualized Plan for Employment (RS-6h)</w:t>
        </w:r>
      </w:hyperlink>
      <w:r w:rsidR="00BB4FAD">
        <w:t xml:space="preserve"> </w:t>
      </w:r>
      <w:r>
        <w:t>once the individual no longer meets the definition of a “</w:t>
      </w:r>
      <w:hyperlink w:anchor="SwaD" w:history="1">
        <w:r w:rsidR="00313AD2" w:rsidRPr="00313AD2">
          <w:rPr>
            <w:rStyle w:val="Hyperlink"/>
          </w:rPr>
          <w:t>student with a disability</w:t>
        </w:r>
      </w:hyperlink>
      <w:r>
        <w:t>”</w:t>
      </w:r>
      <w:r w:rsidR="00895CC1">
        <w:t xml:space="preserve"> or once the individual has been moved into employed status</w:t>
      </w:r>
      <w:r>
        <w:t xml:space="preserve"> All other VR services may continue as planned. </w:t>
      </w:r>
    </w:p>
    <w:p w14:paraId="002254C6" w14:textId="5CA03741" w:rsidR="00313AD2" w:rsidRDefault="00BB4FAD" w:rsidP="00D648AC">
      <w:pPr>
        <w:spacing w:after="0"/>
      </w:pPr>
      <w:r>
        <w:t>Pre-ETS</w:t>
      </w:r>
      <w:r w:rsidR="009B1F5D">
        <w:t xml:space="preserve"> shall not be provided to any student age 22 and beyond.</w:t>
      </w:r>
      <w:r w:rsidR="00743523">
        <w:t xml:space="preserve"> </w:t>
      </w:r>
    </w:p>
    <w:p w14:paraId="33E1528F" w14:textId="77777777" w:rsidR="00BB4FAD" w:rsidRDefault="00BB4FAD" w:rsidP="00D648AC">
      <w:pPr>
        <w:spacing w:after="0"/>
      </w:pPr>
    </w:p>
    <w:p w14:paraId="401AD744" w14:textId="68094CE6" w:rsidR="00313AD2" w:rsidRDefault="009B1F5D" w:rsidP="00D648AC">
      <w:pPr>
        <w:pStyle w:val="Heading3"/>
      </w:pPr>
      <w:bookmarkStart w:id="55" w:name="a171002"/>
      <w:bookmarkStart w:id="56" w:name="_Toc19108544"/>
      <w:bookmarkEnd w:id="55"/>
      <w:r>
        <w:t>1710.02 Closure of the Service Record</w:t>
      </w:r>
      <w:bookmarkEnd w:id="56"/>
    </w:p>
    <w:p w14:paraId="66291682" w14:textId="77777777" w:rsidR="00BB4FAD" w:rsidRPr="00BB4FAD" w:rsidRDefault="00BB4FAD" w:rsidP="00D648AC">
      <w:pPr>
        <w:keepNext/>
        <w:spacing w:after="0"/>
      </w:pPr>
    </w:p>
    <w:p w14:paraId="60C13367" w14:textId="5C262151" w:rsidR="00313AD2" w:rsidRDefault="009B1F5D" w:rsidP="00D648AC">
      <w:pPr>
        <w:keepNext/>
        <w:spacing w:after="0"/>
      </w:pPr>
      <w:r w:rsidRPr="00313AD2">
        <w:rPr>
          <w:b/>
        </w:rPr>
        <w:t>Pre-ETS Case Type</w:t>
      </w:r>
      <w:r>
        <w:t xml:space="preserve"> – The records of services for students receiving </w:t>
      </w:r>
      <w:r w:rsidR="00BB4FAD">
        <w:t xml:space="preserve">Pre-ETS </w:t>
      </w:r>
      <w:r>
        <w:t>under the Pre-ETS case type shall be closed when the individual:</w:t>
      </w:r>
    </w:p>
    <w:p w14:paraId="3DD91ADC" w14:textId="77777777" w:rsidR="00BB4FAD" w:rsidRDefault="00BB4FAD" w:rsidP="00D648AC">
      <w:pPr>
        <w:keepNext/>
        <w:spacing w:after="0"/>
      </w:pPr>
    </w:p>
    <w:p w14:paraId="6EDDEDA0" w14:textId="7DE297FC" w:rsidR="00313AD2" w:rsidRDefault="009B1F5D" w:rsidP="00D648AC">
      <w:pPr>
        <w:pStyle w:val="ListParagraph"/>
        <w:numPr>
          <w:ilvl w:val="1"/>
          <w:numId w:val="19"/>
        </w:numPr>
        <w:spacing w:after="0"/>
        <w:ind w:left="720"/>
      </w:pPr>
      <w:r>
        <w:t>No longer meets the definition of a “</w:t>
      </w:r>
      <w:hyperlink w:anchor="SwaD" w:history="1">
        <w:r w:rsidR="00313AD2" w:rsidRPr="00313AD2">
          <w:rPr>
            <w:rStyle w:val="Hyperlink"/>
          </w:rPr>
          <w:t>student with a disability</w:t>
        </w:r>
      </w:hyperlink>
      <w:r>
        <w:t>.”</w:t>
      </w:r>
    </w:p>
    <w:p w14:paraId="4CE83C1E" w14:textId="77777777" w:rsidR="00BB4FAD" w:rsidRDefault="00BB4FAD" w:rsidP="00BB4FAD">
      <w:pPr>
        <w:pStyle w:val="ListParagraph"/>
        <w:spacing w:after="0"/>
      </w:pPr>
    </w:p>
    <w:p w14:paraId="52F212F4" w14:textId="2D45ED72" w:rsidR="00313AD2" w:rsidRDefault="009B1F5D" w:rsidP="00D648AC">
      <w:pPr>
        <w:pStyle w:val="ListParagraph"/>
        <w:numPr>
          <w:ilvl w:val="1"/>
          <w:numId w:val="19"/>
        </w:numPr>
        <w:spacing w:after="0"/>
        <w:ind w:left="720"/>
      </w:pPr>
      <w:r>
        <w:t xml:space="preserve">Has become eligible for VR services under an open order of selection category and has had an approved </w:t>
      </w:r>
      <w:hyperlink r:id="rId47" w:anchor="rs6h" w:history="1">
        <w:r w:rsidR="00BB4FAD" w:rsidRPr="00C028F2">
          <w:rPr>
            <w:rStyle w:val="Hyperlink"/>
          </w:rPr>
          <w:t>Individualized Plan for Employment (RS-6h)</w:t>
        </w:r>
      </w:hyperlink>
      <w:r>
        <w:t xml:space="preserve"> approved.</w:t>
      </w:r>
    </w:p>
    <w:p w14:paraId="04572EB5" w14:textId="77777777" w:rsidR="00BB4FAD" w:rsidRDefault="00BB4FAD" w:rsidP="00BB4FAD">
      <w:pPr>
        <w:pStyle w:val="ListParagraph"/>
        <w:spacing w:after="0"/>
      </w:pPr>
    </w:p>
    <w:p w14:paraId="2BCDEFD6" w14:textId="78F7F1B9" w:rsidR="00313AD2" w:rsidRDefault="009B1F5D" w:rsidP="00D648AC">
      <w:pPr>
        <w:pStyle w:val="ListParagraph"/>
        <w:numPr>
          <w:ilvl w:val="1"/>
          <w:numId w:val="19"/>
        </w:numPr>
        <w:spacing w:after="0"/>
        <w:ind w:left="720"/>
      </w:pPr>
      <w:r>
        <w:t xml:space="preserve">Chooses not to participate in, or continue participating in </w:t>
      </w:r>
      <w:r w:rsidR="00BB4FAD">
        <w:t>Pre-ETS</w:t>
      </w:r>
      <w:r>
        <w:t>, as confirmed by student and/or guardian either verbally or in writing.</w:t>
      </w:r>
    </w:p>
    <w:p w14:paraId="5B014642" w14:textId="77777777" w:rsidR="00BB4FAD" w:rsidRDefault="00BB4FAD" w:rsidP="00BB4FAD">
      <w:pPr>
        <w:spacing w:after="0"/>
      </w:pPr>
    </w:p>
    <w:p w14:paraId="096B73E4" w14:textId="62201C03" w:rsidR="00981159" w:rsidRDefault="009B1F5D" w:rsidP="00D648AC">
      <w:pPr>
        <w:spacing w:after="0"/>
      </w:pPr>
      <w:r w:rsidRPr="00313AD2">
        <w:rPr>
          <w:b/>
        </w:rPr>
        <w:t>VR Case Type</w:t>
      </w:r>
      <w:r>
        <w:t xml:space="preserve"> – When closing the record of a student in an open order of selection category receiving </w:t>
      </w:r>
      <w:r w:rsidR="00BB4FAD">
        <w:t xml:space="preserve">Pre-ETS </w:t>
      </w:r>
      <w:r>
        <w:t xml:space="preserve">as part of an </w:t>
      </w:r>
      <w:hyperlink r:id="rId48" w:anchor="rs6h" w:history="1">
        <w:r w:rsidR="00BB4FAD" w:rsidRPr="00C028F2">
          <w:rPr>
            <w:rStyle w:val="Hyperlink"/>
          </w:rPr>
          <w:t>Individualized Plan for Employment (RS-6h)</w:t>
        </w:r>
      </w:hyperlink>
      <w:r>
        <w:t xml:space="preserve">, refer to </w:t>
      </w:r>
      <w:hyperlink r:id="rId49" w:anchor="a1001" w:history="1">
        <w:r w:rsidRPr="00120F06">
          <w:rPr>
            <w:rStyle w:val="Hyperlink"/>
          </w:rPr>
          <w:t>Section 1001, Record of Services Closure – Vocational Rehabilitation</w:t>
        </w:r>
      </w:hyperlink>
      <w:r>
        <w:t>.</w:t>
      </w:r>
    </w:p>
    <w:p w14:paraId="04DF8BF7" w14:textId="77777777" w:rsidR="00BB4FAD" w:rsidRDefault="00BB4FAD" w:rsidP="00D648AC">
      <w:pPr>
        <w:spacing w:after="0"/>
      </w:pPr>
    </w:p>
    <w:sectPr w:rsidR="00BB4FAD" w:rsidSect="00B54A7B">
      <w:footerReference w:type="default" r:id="rId5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15C11" w14:textId="77777777" w:rsidR="00437CBE" w:rsidRDefault="00437CBE" w:rsidP="00C0508E">
      <w:r>
        <w:separator/>
      </w:r>
    </w:p>
  </w:endnote>
  <w:endnote w:type="continuationSeparator" w:id="0">
    <w:p w14:paraId="634A0B39" w14:textId="77777777" w:rsidR="00437CBE" w:rsidRDefault="00437CBE" w:rsidP="00C05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B73EA" w14:textId="376654A2" w:rsidR="00437CBE" w:rsidRPr="00743523" w:rsidRDefault="00437CBE" w:rsidP="00743523">
    <w:pPr>
      <w:pStyle w:val="Footer"/>
      <w:spacing w:after="0"/>
      <w:rPr>
        <w:sz w:val="20"/>
        <w:szCs w:val="20"/>
      </w:rPr>
    </w:pPr>
    <w:r w:rsidRPr="00743523">
      <w:rPr>
        <w:sz w:val="20"/>
        <w:szCs w:val="20"/>
      </w:rPr>
      <w:t>5/17</w:t>
    </w:r>
    <w:r w:rsidRPr="00743523">
      <w:rPr>
        <w:sz w:val="20"/>
        <w:szCs w:val="20"/>
      </w:rPr>
      <w:ptab w:relativeTo="margin" w:alignment="center" w:leader="none"/>
    </w:r>
    <w:r w:rsidRPr="00743523">
      <w:rPr>
        <w:sz w:val="20"/>
        <w:szCs w:val="20"/>
      </w:rPr>
      <w:t>RSM 2, Section 1700</w:t>
    </w:r>
    <w:r w:rsidRPr="00743523">
      <w:rPr>
        <w:sz w:val="20"/>
        <w:szCs w:val="20"/>
      </w:rPr>
      <w:ptab w:relativeTo="margin" w:alignment="right" w:leader="none"/>
    </w:r>
    <w:r w:rsidRPr="00743523">
      <w:rPr>
        <w:sz w:val="20"/>
        <w:szCs w:val="20"/>
      </w:rPr>
      <w:t xml:space="preserve">Page </w:t>
    </w:r>
    <w:r w:rsidRPr="00743523">
      <w:rPr>
        <w:sz w:val="20"/>
        <w:szCs w:val="20"/>
      </w:rPr>
      <w:fldChar w:fldCharType="begin"/>
    </w:r>
    <w:r w:rsidRPr="00743523">
      <w:rPr>
        <w:sz w:val="20"/>
        <w:szCs w:val="20"/>
      </w:rPr>
      <w:instrText xml:space="preserve"> PAGE  \* Arabic  \* MERGEFORMAT </w:instrText>
    </w:r>
    <w:r w:rsidRPr="00743523">
      <w:rPr>
        <w:sz w:val="20"/>
        <w:szCs w:val="20"/>
      </w:rPr>
      <w:fldChar w:fldCharType="separate"/>
    </w:r>
    <w:r w:rsidR="00C72DF0">
      <w:rPr>
        <w:noProof/>
        <w:sz w:val="20"/>
        <w:szCs w:val="20"/>
      </w:rPr>
      <w:t>1</w:t>
    </w:r>
    <w:r w:rsidRPr="00743523">
      <w:rPr>
        <w:sz w:val="20"/>
        <w:szCs w:val="20"/>
      </w:rPr>
      <w:fldChar w:fldCharType="end"/>
    </w:r>
    <w:r w:rsidRPr="00743523">
      <w:rPr>
        <w:sz w:val="20"/>
        <w:szCs w:val="20"/>
      </w:rPr>
      <w:t xml:space="preserve"> of </w:t>
    </w:r>
    <w:r w:rsidRPr="00743523">
      <w:rPr>
        <w:sz w:val="20"/>
        <w:szCs w:val="20"/>
      </w:rPr>
      <w:fldChar w:fldCharType="begin"/>
    </w:r>
    <w:r w:rsidRPr="00743523">
      <w:rPr>
        <w:sz w:val="20"/>
        <w:szCs w:val="20"/>
      </w:rPr>
      <w:instrText xml:space="preserve"> NUMPAGES  \* Arabic  \* MERGEFORMAT </w:instrText>
    </w:r>
    <w:r w:rsidRPr="00743523">
      <w:rPr>
        <w:sz w:val="20"/>
        <w:szCs w:val="20"/>
      </w:rPr>
      <w:fldChar w:fldCharType="separate"/>
    </w:r>
    <w:r w:rsidR="00C72DF0">
      <w:rPr>
        <w:noProof/>
        <w:sz w:val="20"/>
        <w:szCs w:val="20"/>
      </w:rPr>
      <w:t>11</w:t>
    </w:r>
    <w:r w:rsidRPr="00743523">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28BBE" w14:textId="77777777" w:rsidR="00437CBE" w:rsidRDefault="00437CBE" w:rsidP="00C0508E">
      <w:r>
        <w:separator/>
      </w:r>
    </w:p>
  </w:footnote>
  <w:footnote w:type="continuationSeparator" w:id="0">
    <w:p w14:paraId="0D4ECA65" w14:textId="77777777" w:rsidR="00437CBE" w:rsidRDefault="00437CBE" w:rsidP="00C05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53BFD"/>
    <w:multiLevelType w:val="hybridMultilevel"/>
    <w:tmpl w:val="610C6E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5F5654"/>
    <w:multiLevelType w:val="hybridMultilevel"/>
    <w:tmpl w:val="5E60EEA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65123E"/>
    <w:multiLevelType w:val="hybridMultilevel"/>
    <w:tmpl w:val="0778E69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EA2960"/>
    <w:multiLevelType w:val="hybridMultilevel"/>
    <w:tmpl w:val="E4DC77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24237"/>
    <w:multiLevelType w:val="hybridMultilevel"/>
    <w:tmpl w:val="D64800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061AFE"/>
    <w:multiLevelType w:val="hybridMultilevel"/>
    <w:tmpl w:val="779897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DA0091"/>
    <w:multiLevelType w:val="hybridMultilevel"/>
    <w:tmpl w:val="DDC69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7D07631"/>
    <w:multiLevelType w:val="hybridMultilevel"/>
    <w:tmpl w:val="16ECD16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F35AD0"/>
    <w:multiLevelType w:val="hybridMultilevel"/>
    <w:tmpl w:val="4746BB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6B4B09"/>
    <w:multiLevelType w:val="hybridMultilevel"/>
    <w:tmpl w:val="D30ADC3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7731DA"/>
    <w:multiLevelType w:val="hybridMultilevel"/>
    <w:tmpl w:val="63C613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725140"/>
    <w:multiLevelType w:val="hybridMultilevel"/>
    <w:tmpl w:val="9A2C06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10D69A1"/>
    <w:multiLevelType w:val="hybridMultilevel"/>
    <w:tmpl w:val="3DE040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16D5124"/>
    <w:multiLevelType w:val="hybridMultilevel"/>
    <w:tmpl w:val="4942B9B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831A7B"/>
    <w:multiLevelType w:val="hybridMultilevel"/>
    <w:tmpl w:val="4C2EF7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82080B"/>
    <w:multiLevelType w:val="hybridMultilevel"/>
    <w:tmpl w:val="E4DC771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86505F"/>
    <w:multiLevelType w:val="hybridMultilevel"/>
    <w:tmpl w:val="2850EA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6E68C4"/>
    <w:multiLevelType w:val="hybridMultilevel"/>
    <w:tmpl w:val="E464504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4413F54"/>
    <w:multiLevelType w:val="hybridMultilevel"/>
    <w:tmpl w:val="898EB46E"/>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23A2E"/>
    <w:multiLevelType w:val="hybridMultilevel"/>
    <w:tmpl w:val="50BA58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5"/>
  </w:num>
  <w:num w:numId="3">
    <w:abstractNumId w:val="18"/>
  </w:num>
  <w:num w:numId="4">
    <w:abstractNumId w:val="9"/>
  </w:num>
  <w:num w:numId="5">
    <w:abstractNumId w:val="12"/>
  </w:num>
  <w:num w:numId="6">
    <w:abstractNumId w:val="13"/>
  </w:num>
  <w:num w:numId="7">
    <w:abstractNumId w:val="5"/>
  </w:num>
  <w:num w:numId="8">
    <w:abstractNumId w:val="16"/>
  </w:num>
  <w:num w:numId="9">
    <w:abstractNumId w:val="4"/>
  </w:num>
  <w:num w:numId="10">
    <w:abstractNumId w:val="8"/>
  </w:num>
  <w:num w:numId="11">
    <w:abstractNumId w:val="11"/>
  </w:num>
  <w:num w:numId="12">
    <w:abstractNumId w:val="19"/>
  </w:num>
  <w:num w:numId="13">
    <w:abstractNumId w:val="1"/>
  </w:num>
  <w:num w:numId="14">
    <w:abstractNumId w:val="17"/>
  </w:num>
  <w:num w:numId="15">
    <w:abstractNumId w:val="2"/>
  </w:num>
  <w:num w:numId="16">
    <w:abstractNumId w:val="6"/>
  </w:num>
  <w:num w:numId="17">
    <w:abstractNumId w:val="10"/>
  </w:num>
  <w:num w:numId="18">
    <w:abstractNumId w:val="7"/>
  </w:num>
  <w:num w:numId="19">
    <w:abstractNumId w:val="14"/>
  </w:num>
  <w:num w:numId="20">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A7B"/>
    <w:rsid w:val="00037AF0"/>
    <w:rsid w:val="00060C5F"/>
    <w:rsid w:val="00086B16"/>
    <w:rsid w:val="000B1821"/>
    <w:rsid w:val="000C69F7"/>
    <w:rsid w:val="00120F06"/>
    <w:rsid w:val="0013310F"/>
    <w:rsid w:val="00133221"/>
    <w:rsid w:val="001502CC"/>
    <w:rsid w:val="00151FC9"/>
    <w:rsid w:val="001722AF"/>
    <w:rsid w:val="001C7A92"/>
    <w:rsid w:val="002048F2"/>
    <w:rsid w:val="0024504E"/>
    <w:rsid w:val="00257AFB"/>
    <w:rsid w:val="002A16EE"/>
    <w:rsid w:val="002A61A8"/>
    <w:rsid w:val="002E4DF9"/>
    <w:rsid w:val="00313AD2"/>
    <w:rsid w:val="00384144"/>
    <w:rsid w:val="00397BB9"/>
    <w:rsid w:val="003F1D54"/>
    <w:rsid w:val="003F5CB0"/>
    <w:rsid w:val="00417624"/>
    <w:rsid w:val="00437CBE"/>
    <w:rsid w:val="004425EC"/>
    <w:rsid w:val="004B326F"/>
    <w:rsid w:val="004D4DA2"/>
    <w:rsid w:val="00510E19"/>
    <w:rsid w:val="0051513F"/>
    <w:rsid w:val="005C4D60"/>
    <w:rsid w:val="005E3B45"/>
    <w:rsid w:val="00626A56"/>
    <w:rsid w:val="00642F23"/>
    <w:rsid w:val="00645F30"/>
    <w:rsid w:val="00652BB4"/>
    <w:rsid w:val="00652CE9"/>
    <w:rsid w:val="006B4B41"/>
    <w:rsid w:val="006E0187"/>
    <w:rsid w:val="00703540"/>
    <w:rsid w:val="0072045C"/>
    <w:rsid w:val="007423C3"/>
    <w:rsid w:val="00743523"/>
    <w:rsid w:val="00761762"/>
    <w:rsid w:val="00775029"/>
    <w:rsid w:val="007950A9"/>
    <w:rsid w:val="007C141B"/>
    <w:rsid w:val="007C479E"/>
    <w:rsid w:val="007D6D13"/>
    <w:rsid w:val="008139D8"/>
    <w:rsid w:val="008549A2"/>
    <w:rsid w:val="00893AFA"/>
    <w:rsid w:val="00895CC1"/>
    <w:rsid w:val="008A73C7"/>
    <w:rsid w:val="009539DD"/>
    <w:rsid w:val="00963672"/>
    <w:rsid w:val="00981159"/>
    <w:rsid w:val="00987427"/>
    <w:rsid w:val="009B1F5D"/>
    <w:rsid w:val="009D3CCD"/>
    <w:rsid w:val="00A1179F"/>
    <w:rsid w:val="00A15F8A"/>
    <w:rsid w:val="00A747F4"/>
    <w:rsid w:val="00A80F98"/>
    <w:rsid w:val="00A85ED0"/>
    <w:rsid w:val="00A91662"/>
    <w:rsid w:val="00AA3DB0"/>
    <w:rsid w:val="00AD588F"/>
    <w:rsid w:val="00AD7D16"/>
    <w:rsid w:val="00B54A7B"/>
    <w:rsid w:val="00BB12EA"/>
    <w:rsid w:val="00BB4FAD"/>
    <w:rsid w:val="00BE31DB"/>
    <w:rsid w:val="00BF17FA"/>
    <w:rsid w:val="00C028F2"/>
    <w:rsid w:val="00C0508E"/>
    <w:rsid w:val="00C24E9C"/>
    <w:rsid w:val="00C2734B"/>
    <w:rsid w:val="00C42E45"/>
    <w:rsid w:val="00C44036"/>
    <w:rsid w:val="00C72DF0"/>
    <w:rsid w:val="00C76D2B"/>
    <w:rsid w:val="00C964CD"/>
    <w:rsid w:val="00CC1A1D"/>
    <w:rsid w:val="00CE3D24"/>
    <w:rsid w:val="00D01B9A"/>
    <w:rsid w:val="00D06606"/>
    <w:rsid w:val="00D14085"/>
    <w:rsid w:val="00D142B7"/>
    <w:rsid w:val="00D24BDF"/>
    <w:rsid w:val="00D648AC"/>
    <w:rsid w:val="00DA347E"/>
    <w:rsid w:val="00DC4333"/>
    <w:rsid w:val="00DD767B"/>
    <w:rsid w:val="00DE1AE8"/>
    <w:rsid w:val="00E03F62"/>
    <w:rsid w:val="00E11202"/>
    <w:rsid w:val="00F11909"/>
    <w:rsid w:val="00F36B7B"/>
    <w:rsid w:val="00F67C9C"/>
    <w:rsid w:val="00F76E6D"/>
    <w:rsid w:val="00F8345A"/>
    <w:rsid w:val="00FE07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6B7295"/>
  <w15:docId w15:val="{EC58BA6C-BC9F-4726-8456-49DD868E0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08E"/>
    <w:pPr>
      <w:spacing w:after="220" w:line="240" w:lineRule="auto"/>
    </w:pPr>
    <w:rPr>
      <w:rFonts w:ascii="Arial" w:hAnsi="Arial" w:cs="Arial"/>
    </w:rPr>
  </w:style>
  <w:style w:type="paragraph" w:styleId="Heading1">
    <w:name w:val="heading 1"/>
    <w:basedOn w:val="Normal"/>
    <w:next w:val="Normal"/>
    <w:link w:val="Heading1Char"/>
    <w:uiPriority w:val="9"/>
    <w:qFormat/>
    <w:rsid w:val="004D4DA2"/>
    <w:pPr>
      <w:keepNext/>
      <w:keepLines/>
      <w:jc w:val="center"/>
      <w:outlineLvl w:val="0"/>
    </w:pPr>
    <w:rPr>
      <w:rFonts w:eastAsiaTheme="majorEastAsia"/>
      <w:b/>
      <w:bCs/>
      <w:color w:val="000000" w:themeColor="text1"/>
      <w:sz w:val="36"/>
      <w:szCs w:val="36"/>
    </w:rPr>
  </w:style>
  <w:style w:type="paragraph" w:styleId="Heading2">
    <w:name w:val="heading 2"/>
    <w:basedOn w:val="Normal"/>
    <w:next w:val="Normal"/>
    <w:link w:val="Heading2Char"/>
    <w:uiPriority w:val="9"/>
    <w:unhideWhenUsed/>
    <w:qFormat/>
    <w:rsid w:val="00D648AC"/>
    <w:pPr>
      <w:keepNext/>
      <w:spacing w:before="240" w:after="0"/>
      <w:outlineLvl w:val="1"/>
    </w:pPr>
    <w:rPr>
      <w:b/>
      <w:sz w:val="24"/>
      <w:szCs w:val="24"/>
    </w:rPr>
  </w:style>
  <w:style w:type="paragraph" w:styleId="Heading3">
    <w:name w:val="heading 3"/>
    <w:basedOn w:val="Normal"/>
    <w:link w:val="Heading3Char"/>
    <w:uiPriority w:val="9"/>
    <w:qFormat/>
    <w:rsid w:val="00D648AC"/>
    <w:pPr>
      <w:spacing w:after="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4DA2"/>
    <w:rPr>
      <w:rFonts w:ascii="Arial" w:eastAsiaTheme="majorEastAsia" w:hAnsi="Arial" w:cs="Arial"/>
      <w:b/>
      <w:bCs/>
      <w:color w:val="000000" w:themeColor="text1"/>
      <w:sz w:val="36"/>
      <w:szCs w:val="36"/>
    </w:rPr>
  </w:style>
  <w:style w:type="character" w:customStyle="1" w:styleId="Heading2Char">
    <w:name w:val="Heading 2 Char"/>
    <w:basedOn w:val="DefaultParagraphFont"/>
    <w:link w:val="Heading2"/>
    <w:uiPriority w:val="9"/>
    <w:rsid w:val="00D648AC"/>
    <w:rPr>
      <w:rFonts w:ascii="Arial" w:hAnsi="Arial" w:cs="Arial"/>
      <w:b/>
      <w:sz w:val="24"/>
      <w:szCs w:val="24"/>
    </w:rPr>
  </w:style>
  <w:style w:type="character" w:customStyle="1" w:styleId="Heading3Char">
    <w:name w:val="Heading 3 Char"/>
    <w:basedOn w:val="DefaultParagraphFont"/>
    <w:link w:val="Heading3"/>
    <w:uiPriority w:val="9"/>
    <w:rsid w:val="00D648AC"/>
    <w:rPr>
      <w:rFonts w:ascii="Arial" w:hAnsi="Arial" w:cs="Arial"/>
      <w:b/>
    </w:rPr>
  </w:style>
  <w:style w:type="character" w:styleId="Hyperlink">
    <w:name w:val="Hyperlink"/>
    <w:basedOn w:val="DefaultParagraphFont"/>
    <w:uiPriority w:val="99"/>
    <w:unhideWhenUsed/>
    <w:rsid w:val="00B54A7B"/>
    <w:rPr>
      <w:color w:val="800000"/>
      <w:u w:val="single"/>
    </w:rPr>
  </w:style>
  <w:style w:type="paragraph" w:styleId="NormalWeb">
    <w:name w:val="Normal (Web)"/>
    <w:basedOn w:val="Normal"/>
    <w:uiPriority w:val="99"/>
    <w:semiHidden/>
    <w:unhideWhenUsed/>
    <w:rsid w:val="00B54A7B"/>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652BB4"/>
    <w:pPr>
      <w:ind w:left="720"/>
    </w:pPr>
  </w:style>
  <w:style w:type="paragraph" w:styleId="Header">
    <w:name w:val="header"/>
    <w:basedOn w:val="Normal"/>
    <w:link w:val="HeaderChar"/>
    <w:uiPriority w:val="99"/>
    <w:unhideWhenUsed/>
    <w:rsid w:val="004D4DA2"/>
    <w:pPr>
      <w:tabs>
        <w:tab w:val="center" w:pos="4680"/>
        <w:tab w:val="right" w:pos="9360"/>
      </w:tabs>
    </w:pPr>
  </w:style>
  <w:style w:type="character" w:customStyle="1" w:styleId="HeaderChar">
    <w:name w:val="Header Char"/>
    <w:basedOn w:val="DefaultParagraphFont"/>
    <w:link w:val="Header"/>
    <w:uiPriority w:val="99"/>
    <w:rsid w:val="004D4DA2"/>
    <w:rPr>
      <w:rFonts w:ascii="Arial" w:hAnsi="Arial" w:cs="Arial"/>
    </w:rPr>
  </w:style>
  <w:style w:type="paragraph" w:styleId="Footer">
    <w:name w:val="footer"/>
    <w:basedOn w:val="Normal"/>
    <w:link w:val="FooterChar"/>
    <w:uiPriority w:val="99"/>
    <w:unhideWhenUsed/>
    <w:rsid w:val="004D4DA2"/>
    <w:pPr>
      <w:tabs>
        <w:tab w:val="center" w:pos="4680"/>
        <w:tab w:val="right" w:pos="9360"/>
      </w:tabs>
    </w:pPr>
  </w:style>
  <w:style w:type="character" w:customStyle="1" w:styleId="FooterChar">
    <w:name w:val="Footer Char"/>
    <w:basedOn w:val="DefaultParagraphFont"/>
    <w:link w:val="Footer"/>
    <w:uiPriority w:val="99"/>
    <w:rsid w:val="004D4DA2"/>
    <w:rPr>
      <w:rFonts w:ascii="Arial" w:hAnsi="Arial" w:cs="Arial"/>
    </w:rPr>
  </w:style>
  <w:style w:type="paragraph" w:styleId="BalloonText">
    <w:name w:val="Balloon Text"/>
    <w:basedOn w:val="Normal"/>
    <w:link w:val="BalloonTextChar"/>
    <w:uiPriority w:val="99"/>
    <w:semiHidden/>
    <w:unhideWhenUsed/>
    <w:rsid w:val="004D4DA2"/>
    <w:rPr>
      <w:rFonts w:ascii="Tahoma" w:hAnsi="Tahoma" w:cs="Tahoma"/>
      <w:sz w:val="16"/>
      <w:szCs w:val="16"/>
    </w:rPr>
  </w:style>
  <w:style w:type="character" w:customStyle="1" w:styleId="BalloonTextChar">
    <w:name w:val="Balloon Text Char"/>
    <w:basedOn w:val="DefaultParagraphFont"/>
    <w:link w:val="BalloonText"/>
    <w:uiPriority w:val="99"/>
    <w:semiHidden/>
    <w:rsid w:val="004D4DA2"/>
    <w:rPr>
      <w:rFonts w:ascii="Tahoma" w:hAnsi="Tahoma" w:cs="Tahoma"/>
      <w:sz w:val="16"/>
      <w:szCs w:val="16"/>
    </w:rPr>
  </w:style>
  <w:style w:type="character" w:styleId="FollowedHyperlink">
    <w:name w:val="FollowedHyperlink"/>
    <w:basedOn w:val="DefaultParagraphFont"/>
    <w:uiPriority w:val="99"/>
    <w:semiHidden/>
    <w:unhideWhenUsed/>
    <w:rsid w:val="00A80F98"/>
    <w:rPr>
      <w:color w:val="800080" w:themeColor="followedHyperlink"/>
      <w:u w:val="single"/>
    </w:rPr>
  </w:style>
  <w:style w:type="paragraph" w:styleId="TOC1">
    <w:name w:val="toc 1"/>
    <w:basedOn w:val="Normal"/>
    <w:next w:val="Normal"/>
    <w:autoRedefine/>
    <w:uiPriority w:val="39"/>
    <w:unhideWhenUsed/>
    <w:rsid w:val="00743523"/>
    <w:pPr>
      <w:tabs>
        <w:tab w:val="right" w:leader="dot" w:pos="10070"/>
      </w:tabs>
      <w:spacing w:before="120" w:after="0"/>
      <w:ind w:left="540" w:hanging="540"/>
    </w:pPr>
    <w:rPr>
      <w:b/>
    </w:rPr>
  </w:style>
  <w:style w:type="paragraph" w:styleId="TOC2">
    <w:name w:val="toc 2"/>
    <w:basedOn w:val="Normal"/>
    <w:next w:val="Normal"/>
    <w:autoRedefine/>
    <w:uiPriority w:val="39"/>
    <w:unhideWhenUsed/>
    <w:rsid w:val="00743523"/>
    <w:pPr>
      <w:tabs>
        <w:tab w:val="right" w:leader="dot" w:pos="10070"/>
      </w:tabs>
      <w:spacing w:after="0"/>
      <w:ind w:left="1350" w:hanging="84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131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rs.maryland.gov/resources/RSM/RSM2_1700-3.docx" TargetMode="External"/><Relationship Id="rId18" Type="http://schemas.openxmlformats.org/officeDocument/2006/relationships/hyperlink" Target="http://dors.maryland.gov/resources/RSM/RSM2_0500.docx" TargetMode="External"/><Relationship Id="rId26" Type="http://schemas.openxmlformats.org/officeDocument/2006/relationships/hyperlink" Target="https://dors.maryland.gov/resources/Pages/default.aspx" TargetMode="External"/><Relationship Id="rId39" Type="http://schemas.openxmlformats.org/officeDocument/2006/relationships/hyperlink" Target="http://intranet.dors.hq/RS_Manuals/RSM4.htm" TargetMode="External"/><Relationship Id="rId21" Type="http://schemas.openxmlformats.org/officeDocument/2006/relationships/hyperlink" Target="http://intranet.dors.hq/RS_Manuals/RSM4.htm" TargetMode="External"/><Relationship Id="rId34" Type="http://schemas.openxmlformats.org/officeDocument/2006/relationships/hyperlink" Target="http://intranet.dors.hq/RS_Manuals/RSM4.htm" TargetMode="External"/><Relationship Id="rId42" Type="http://schemas.openxmlformats.org/officeDocument/2006/relationships/hyperlink" Target="http://dors.maryland.gov/resources/RSM/RSM3_1400.docx" TargetMode="External"/><Relationship Id="rId47" Type="http://schemas.openxmlformats.org/officeDocument/2006/relationships/hyperlink" Target="http://intranet.dors.hq/RS_Manuals/RSM4.htm" TargetMode="External"/><Relationship Id="rId50"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intranet.dors.hq/RS_Manuals/RSM4.htm" TargetMode="External"/><Relationship Id="rId29" Type="http://schemas.openxmlformats.org/officeDocument/2006/relationships/hyperlink" Target="http://dors.maryland.gov/resources/RSM/RSM2_1700-1.docx" TargetMode="External"/><Relationship Id="rId11" Type="http://schemas.openxmlformats.org/officeDocument/2006/relationships/hyperlink" Target="http://dors.maryland.gov/resources/RSM/RSM2_1700-1.docx" TargetMode="External"/><Relationship Id="rId24" Type="http://schemas.openxmlformats.org/officeDocument/2006/relationships/hyperlink" Target="http://intranet.dors.hq/RS_Manuals/RSM4.htm" TargetMode="External"/><Relationship Id="rId32" Type="http://schemas.openxmlformats.org/officeDocument/2006/relationships/hyperlink" Target="http://intranet.dors.hq/RS_Manuals/RSM4.htm" TargetMode="External"/><Relationship Id="rId37" Type="http://schemas.openxmlformats.org/officeDocument/2006/relationships/hyperlink" Target="http://dors.maryland.gov/resources/RSM/RSM2_0600.docx" TargetMode="External"/><Relationship Id="rId40" Type="http://schemas.openxmlformats.org/officeDocument/2006/relationships/hyperlink" Target="http://intranet.dors.hq/RS_Manuals/RSM4.htm" TargetMode="External"/><Relationship Id="rId45" Type="http://schemas.openxmlformats.org/officeDocument/2006/relationships/hyperlink" Target="http://intranet.dors.hq/RS_Manuals/RSM4.htm" TargetMode="External"/><Relationship Id="rId5" Type="http://schemas.openxmlformats.org/officeDocument/2006/relationships/numbering" Target="numbering.xml"/><Relationship Id="rId15" Type="http://schemas.openxmlformats.org/officeDocument/2006/relationships/hyperlink" Target="http://intranet.dors.hq/RS_Manuals/RSM4.htm" TargetMode="External"/><Relationship Id="rId23" Type="http://schemas.openxmlformats.org/officeDocument/2006/relationships/hyperlink" Target="http://intranet.dors.hq/RS_Manuals/RSM4.htm" TargetMode="External"/><Relationship Id="rId28" Type="http://schemas.openxmlformats.org/officeDocument/2006/relationships/hyperlink" Target="http://intranet.dors.hq/RS_Manuals/RSM4.htm" TargetMode="External"/><Relationship Id="rId36" Type="http://schemas.openxmlformats.org/officeDocument/2006/relationships/hyperlink" Target="http://intranet.dors.hq/RS_Manuals/RSM4.htm" TargetMode="External"/><Relationship Id="rId49" Type="http://schemas.openxmlformats.org/officeDocument/2006/relationships/hyperlink" Target="http://dors.maryland.gov/resources/RSM/RSM2_1000.docx" TargetMode="External"/><Relationship Id="rId10" Type="http://schemas.openxmlformats.org/officeDocument/2006/relationships/endnotes" Target="endnotes.xml"/><Relationship Id="rId19" Type="http://schemas.openxmlformats.org/officeDocument/2006/relationships/hyperlink" Target="http://intranet.dors.hq/RS_Manuals/RSM4.htm" TargetMode="External"/><Relationship Id="rId31" Type="http://schemas.openxmlformats.org/officeDocument/2006/relationships/hyperlink" Target="http://intranet.dors.hq/RS_Manuals/RSM4.htm" TargetMode="External"/><Relationship Id="rId44" Type="http://schemas.openxmlformats.org/officeDocument/2006/relationships/hyperlink" Target="http://dors.maryland.gov/resources/RSM/RSM3_1400.docx"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tranet.dors.hq/RS_Manuals/RSM4.htm" TargetMode="External"/><Relationship Id="rId22" Type="http://schemas.openxmlformats.org/officeDocument/2006/relationships/hyperlink" Target="http://dors.maryland.gov/resources/RSM/RSM2_0200.docx" TargetMode="External"/><Relationship Id="rId27" Type="http://schemas.openxmlformats.org/officeDocument/2006/relationships/hyperlink" Target="http://intranet.dors.hq/RS_Manuals/RSM4.htm" TargetMode="External"/><Relationship Id="rId30" Type="http://schemas.openxmlformats.org/officeDocument/2006/relationships/hyperlink" Target="http://intranet.dors.hq/RS_Manuals/RSM4.htm" TargetMode="External"/><Relationship Id="rId35" Type="http://schemas.openxmlformats.org/officeDocument/2006/relationships/hyperlink" Target="http://intranet.dors.hq/RS_Manuals/RSM4.htm" TargetMode="External"/><Relationship Id="rId43" Type="http://schemas.openxmlformats.org/officeDocument/2006/relationships/hyperlink" Target="http://intranet.dors.hq/RS_Manuals/RSM4.htm" TargetMode="External"/><Relationship Id="rId48" Type="http://schemas.openxmlformats.org/officeDocument/2006/relationships/hyperlink" Target="http://intranet.dors.hq/RS_Manuals/RSM4.htm" TargetMode="Externa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http://dors.maryland.gov/resources/RSM/RSM2_1700-2.docx" TargetMode="External"/><Relationship Id="rId17" Type="http://schemas.openxmlformats.org/officeDocument/2006/relationships/hyperlink" Target="http://dors.maryland.gov/resources/RSM/RSM3_1400.docx" TargetMode="External"/><Relationship Id="rId25" Type="http://schemas.openxmlformats.org/officeDocument/2006/relationships/hyperlink" Target="https://dors.maryland.gov/resources/Pages/default.aspx" TargetMode="External"/><Relationship Id="rId33" Type="http://schemas.openxmlformats.org/officeDocument/2006/relationships/hyperlink" Target="http://intranet.dors.hq/RS_Manuals/RSM4.htm" TargetMode="External"/><Relationship Id="rId38" Type="http://schemas.openxmlformats.org/officeDocument/2006/relationships/hyperlink" Target="http://dors.maryland.gov/resources/RSM/RSM2_0500.docx" TargetMode="External"/><Relationship Id="rId46" Type="http://schemas.openxmlformats.org/officeDocument/2006/relationships/hyperlink" Target="http://intranet.dors.hq/RS_Manuals/RSM4.htm" TargetMode="External"/><Relationship Id="rId20" Type="http://schemas.openxmlformats.org/officeDocument/2006/relationships/hyperlink" Target="http://dors.maryland.gov/resources/RSM/RSM2_0600.docx" TargetMode="External"/><Relationship Id="rId41" Type="http://schemas.openxmlformats.org/officeDocument/2006/relationships/hyperlink" Target="http://intranet.dors.hq/RS_Manuals/RSM4.htm"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c xmlns="a2e0ce65-b439-42d7-a1cf-8be7849305c5">true</public>
    <RSM xmlns="6ccc4e0b-0963-4164-8c19-df4d91274b6b">true</RSM>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E34554CD003F4DA127C3FF46091583" ma:contentTypeVersion="8" ma:contentTypeDescription="Create a new document." ma:contentTypeScope="" ma:versionID="abbf32afaf4c9adff610164caa855367">
  <xsd:schema xmlns:xsd="http://www.w3.org/2001/XMLSchema" xmlns:xs="http://www.w3.org/2001/XMLSchema" xmlns:p="http://schemas.microsoft.com/office/2006/metadata/properties" xmlns:ns3="a2e0ce65-b439-42d7-a1cf-8be7849305c5" xmlns:ns4="6ccc4e0b-0963-4164-8c19-df4d91274b6b" targetNamespace="http://schemas.microsoft.com/office/2006/metadata/properties" ma:root="true" ma:fieldsID="4197130d2a5b73b9530480da81ab916e" ns3:_="" ns4:_="">
    <xsd:import namespace="a2e0ce65-b439-42d7-a1cf-8be7849305c5"/>
    <xsd:import namespace="6ccc4e0b-0963-4164-8c19-df4d91274b6b"/>
    <xsd:element name="properties">
      <xsd:complexType>
        <xsd:sequence>
          <xsd:element name="documentManagement">
            <xsd:complexType>
              <xsd:all>
                <xsd:element ref="ns3:public" minOccurs="0"/>
                <xsd:element ref="ns4:RS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e0ce65-b439-42d7-a1cf-8be7849305c5" elementFormDefault="qualified">
    <xsd:import namespace="http://schemas.microsoft.com/office/2006/documentManagement/types"/>
    <xsd:import namespace="http://schemas.microsoft.com/office/infopath/2007/PartnerControls"/>
    <xsd:element name="public" ma:index="9" nillable="true" ma:displayName="public" ma:default="0" ma:internalName="public">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ccc4e0b-0963-4164-8c19-df4d91274b6b" elementFormDefault="qualified">
    <xsd:import namespace="http://schemas.microsoft.com/office/2006/documentManagement/types"/>
    <xsd:import namespace="http://schemas.microsoft.com/office/infopath/2007/PartnerControls"/>
    <xsd:element name="RSM" ma:index="11" nillable="true" ma:displayName="RSM" ma:default="1" ma:internalName="RSM">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B6D0B-0F93-4ED4-915F-BCD0AD460C14}"/>
</file>

<file path=customXml/itemProps2.xml><?xml version="1.0" encoding="utf-8"?>
<ds:datastoreItem xmlns:ds="http://schemas.openxmlformats.org/officeDocument/2006/customXml" ds:itemID="{2DAE20F6-4353-416C-89BE-295495CC5F65}"/>
</file>

<file path=customXml/itemProps3.xml><?xml version="1.0" encoding="utf-8"?>
<ds:datastoreItem xmlns:ds="http://schemas.openxmlformats.org/officeDocument/2006/customXml" ds:itemID="{E86E9631-1618-4F1B-BC29-92840C3913B0}"/>
</file>

<file path=customXml/itemProps4.xml><?xml version="1.0" encoding="utf-8"?>
<ds:datastoreItem xmlns:ds="http://schemas.openxmlformats.org/officeDocument/2006/customXml" ds:itemID="{7B7DB233-F5EF-4582-9F89-E10F45DBBEA8}"/>
</file>

<file path=docProps/app.xml><?xml version="1.0" encoding="utf-8"?>
<Properties xmlns="http://schemas.openxmlformats.org/officeDocument/2006/extended-properties" xmlns:vt="http://schemas.openxmlformats.org/officeDocument/2006/docPropsVTypes">
  <Template>Normal.dotm</Template>
  <TotalTime>0</TotalTime>
  <Pages>11</Pages>
  <Words>4697</Words>
  <Characters>26779</Characters>
  <Application>Microsoft Office Word</Application>
  <DocSecurity>8</DocSecurity>
  <Lines>223</Lines>
  <Paragraphs>62</Paragraphs>
  <ScaleCrop>false</ScaleCrop>
  <HeadingPairs>
    <vt:vector size="2" baseType="variant">
      <vt:variant>
        <vt:lpstr>Title</vt:lpstr>
      </vt:variant>
      <vt:variant>
        <vt:i4>1</vt:i4>
      </vt:variant>
    </vt:vector>
  </HeadingPairs>
  <TitlesOfParts>
    <vt:vector size="1" baseType="lpstr">
      <vt:lpstr>RSM 2, Section 1700: Pre-Employment Transition Services</vt:lpstr>
    </vt:vector>
  </TitlesOfParts>
  <Company>Division of Rehabilitation Services</Company>
  <LinksUpToDate>false</LinksUpToDate>
  <CharactersWithSpaces>31414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RSM 2, Section 1700: Pre-Employment Transition Services</dc:title>
  <dc:creator>Donna Lettow</dc:creator>
  <cp:lastModifiedBy>Donna Lettow</cp:lastModifiedBy>
  <cp:revision>2</cp:revision>
  <cp:lastPrinted>2015-01-08T13:45:00Z</cp:lastPrinted>
  <dcterms:created xsi:type="dcterms:W3CDTF">2020-08-27T15:30:00Z</dcterms:created>
  <dcterms:modified xsi:type="dcterms:W3CDTF">2020-08-27T15:30:00Z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0x0101005CE34554CD003F4DA127C3FF46091583</vt:lpwstr>
  </property>
  <property fmtid="{D5CDD505-2E9C-101B-9397-08002B2CF9AE}" pid="3" name="Order">
    <vt:r8>2000</vt:r8>
  </property>
  <property fmtid="{D5CDD505-2E9C-101B-9397-08002B2CF9AE}" pid="4" name="WorkflowChangePath">
    <vt:lpwstr>cc6264d1-238c-4475-b299-0db91986c9f3,7;40df4351-e051-443e-9e21-d96cd3d9932e,10;40df4351-e051-443e-9e21-d96cd3d9932e,12;40df4351-e051-443e-9e21-d96cd3d9932e,14;40df4351-e051-443e-9e21-d96cd3d9932e,16;40df4351-e051-443e-9e21-d96cd3d9932e,18;40df4351-e051-443e-9e21-d96cd3d9932e,20;</vt:lpwstr>
  </property>
  <property fmtid="{D5CDD505-2E9C-101B-9397-08002B2CF9AE}" pid="5" name="Doc Title">
    <vt:lpwstr>https://dors.maryland.gov/resources/RSM/RSM2_1700.docx, RSM 2, Section 1700: Pre-Employment Transition Services</vt:lpwstr>
  </property>
  <property fmtid="{D5CDD505-2E9C-101B-9397-08002B2CF9AE}" pid="6" name="xd_Signature">
    <vt:bool>false</vt:bool>
  </property>
  <property fmtid="{D5CDD505-2E9C-101B-9397-08002B2CF9AE}" pid="7" name="RSM">
    <vt:bool>false</vt:bool>
  </property>
  <property fmtid="{D5CDD505-2E9C-101B-9397-08002B2CF9AE}" pid="8" name="xd_ProgID">
    <vt:lpwstr/>
  </property>
  <property fmtid="{D5CDD505-2E9C-101B-9397-08002B2CF9AE}" pid="9" name="TemplateUrl">
    <vt:lpwstr/>
  </property>
  <property fmtid="{D5CDD505-2E9C-101B-9397-08002B2CF9AE}" pid="10" name="RSA">
    <vt:bool>true</vt:bool>
  </property>
  <property fmtid="{D5CDD505-2E9C-101B-9397-08002B2CF9AE}" pid="11" name="_SourceUrl">
    <vt:lpwstr/>
  </property>
  <property fmtid="{D5CDD505-2E9C-101B-9397-08002B2CF9AE}" pid="12" name="_SharedFileIndex">
    <vt:lpwstr/>
  </property>
</Properties>
</file>